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79" w:lineRule="exact"/>
        <w:rPr>
          <w:rStyle w:val="10"/>
          <w:rFonts w:ascii="黑体" w:hAnsi="黑体" w:eastAsia="黑体" w:cs="黑体"/>
          <w:sz w:val="32"/>
          <w:szCs w:val="32"/>
        </w:rPr>
      </w:pPr>
      <w:bookmarkStart w:id="0" w:name="_GoBack"/>
      <w:bookmarkEnd w:id="0"/>
      <w:r>
        <w:rPr>
          <w:rStyle w:val="10"/>
          <w:rFonts w:hint="eastAsia" w:ascii="黑体" w:hAnsi="黑体" w:eastAsia="黑体" w:cs="黑体"/>
          <w:sz w:val="32"/>
          <w:szCs w:val="32"/>
        </w:rPr>
        <w:t>附件</w:t>
      </w:r>
    </w:p>
    <w:p>
      <w:pPr>
        <w:spacing w:line="579" w:lineRule="exact"/>
        <w:rPr>
          <w:rStyle w:val="10"/>
          <w:rFonts w:ascii="黑体" w:hAnsi="黑体" w:eastAsia="黑体" w:cs="黑体"/>
          <w:sz w:val="32"/>
          <w:szCs w:val="32"/>
        </w:rPr>
      </w:pPr>
    </w:p>
    <w:p>
      <w:pPr>
        <w:spacing w:line="579" w:lineRule="exact"/>
        <w:jc w:val="center"/>
        <w:rPr>
          <w:rStyle w:val="10"/>
          <w:rFonts w:ascii="方正小标宋简体" w:hAnsi="方正小标宋简体" w:eastAsia="方正小标宋简体" w:cs="方正小标宋简体"/>
          <w:sz w:val="44"/>
          <w:szCs w:val="44"/>
        </w:rPr>
      </w:pPr>
      <w:r>
        <w:rPr>
          <w:rStyle w:val="10"/>
          <w:rFonts w:hint="eastAsia" w:ascii="方正小标宋简体" w:hAnsi="方正小标宋简体" w:eastAsia="方正小标宋简体" w:cs="方正小标宋简体"/>
          <w:sz w:val="44"/>
          <w:szCs w:val="44"/>
        </w:rPr>
        <w:t>泉州数字经济产业园三期项目房屋</w:t>
      </w:r>
    </w:p>
    <w:p>
      <w:pPr>
        <w:spacing w:line="579" w:lineRule="exact"/>
        <w:jc w:val="center"/>
        <w:rPr>
          <w:rStyle w:val="10"/>
          <w:rFonts w:ascii="方正小标宋简体" w:hAnsi="方正小标宋简体" w:eastAsia="方正小标宋简体" w:cs="方正小标宋简体"/>
          <w:sz w:val="44"/>
          <w:szCs w:val="44"/>
        </w:rPr>
      </w:pPr>
      <w:r>
        <w:rPr>
          <w:rStyle w:val="10"/>
          <w:rFonts w:hint="eastAsia" w:ascii="方正小标宋简体" w:hAnsi="方正小标宋简体" w:eastAsia="方正小标宋简体" w:cs="方正小标宋简体"/>
          <w:sz w:val="44"/>
          <w:szCs w:val="44"/>
        </w:rPr>
        <w:t>征收补偿安置实施方案</w:t>
      </w:r>
    </w:p>
    <w:p>
      <w:pPr>
        <w:spacing w:line="579" w:lineRule="exact"/>
        <w:jc w:val="center"/>
        <w:rPr>
          <w:rStyle w:val="10"/>
          <w:rFonts w:ascii="仿宋_GB2312" w:hAnsi="仿宋_GB2312" w:eastAsia="仿宋_GB2312" w:cs="仿宋_GB2312"/>
          <w:b/>
          <w:bCs/>
          <w:sz w:val="32"/>
          <w:szCs w:val="32"/>
        </w:rPr>
      </w:pPr>
      <w:r>
        <w:rPr>
          <w:rStyle w:val="10"/>
          <w:rFonts w:hint="eastAsia" w:ascii="楷体" w:hAnsi="楷体" w:eastAsia="楷体" w:cs="楷体"/>
          <w:sz w:val="32"/>
          <w:szCs w:val="32"/>
        </w:rPr>
        <w:t>（征求意见稿）</w:t>
      </w:r>
    </w:p>
    <w:p>
      <w:pPr>
        <w:spacing w:line="579" w:lineRule="exact"/>
        <w:ind w:firstLine="646" w:firstLineChars="200"/>
        <w:rPr>
          <w:rStyle w:val="10"/>
          <w:rFonts w:ascii="仿宋_GB2312" w:hAnsi="仿宋_GB2312" w:eastAsia="仿宋_GB2312" w:cs="仿宋_GB2312"/>
          <w:sz w:val="32"/>
          <w:szCs w:val="32"/>
        </w:rPr>
      </w:pPr>
    </w:p>
    <w:p>
      <w:pPr>
        <w:spacing w:line="580" w:lineRule="exact"/>
        <w:ind w:firstLine="646" w:firstLineChars="200"/>
        <w:rPr>
          <w:rStyle w:val="10"/>
          <w:rFonts w:ascii="仿宋_GB2312" w:hAnsi="仿宋_GB2312" w:eastAsia="仿宋_GB2312" w:cs="仿宋_GB2312"/>
          <w:b/>
          <w:color w:val="FF0000"/>
          <w:sz w:val="32"/>
          <w:szCs w:val="32"/>
        </w:rPr>
      </w:pPr>
      <w:r>
        <w:rPr>
          <w:rStyle w:val="10"/>
          <w:rFonts w:hint="eastAsia" w:ascii="仿宋_GB2312" w:hAnsi="仿宋_GB2312" w:eastAsia="仿宋_GB2312" w:cs="仿宋_GB2312"/>
          <w:sz w:val="32"/>
          <w:szCs w:val="32"/>
        </w:rPr>
        <w:t>泉州数字经济产业园三期项目位于北峰—丰州组团内，总用地面积约456.599亩（具体见泉州数字经济产业园三期项目征收范围图）。</w:t>
      </w:r>
      <w:r>
        <w:rPr>
          <w:rFonts w:hint="eastAsia" w:ascii="仿宋_GB2312" w:hAnsi="仿宋_GB2312" w:eastAsia="仿宋_GB2312" w:cs="仿宋_GB2312"/>
          <w:sz w:val="32"/>
          <w:szCs w:val="32"/>
        </w:rPr>
        <w:t>为积极稳妥推进房屋征收补偿安置工作，保障被征收房屋所有权人的合法权益，根据《国有土地上房屋征收与补偿条例》（国务院令第590号）、《福建省实施&lt;国有土地上房屋征收与补偿条例&gt;办法》（福建省人民政府令第138号）、《泉州市国有土地上房屋征收与补偿规定》（泉政文【2020】6号）和《泉州市人民政府办公室关于印发在中心市区国有土地上对未经登记建筑调查认定处理意见和实施房屋征收补偿指导意见的通知》（泉政办【2015】112号）等相关法律、法规及配套政策，结合本区域实际情况，制定本实施方案。</w:t>
      </w:r>
    </w:p>
    <w:p>
      <w:pPr>
        <w:spacing w:line="580" w:lineRule="exact"/>
        <w:rPr>
          <w:rStyle w:val="10"/>
          <w:rFonts w:ascii="黑体" w:hAnsi="黑体" w:eastAsia="黑体" w:cs="黑体"/>
          <w:bCs/>
          <w:sz w:val="32"/>
          <w:szCs w:val="32"/>
        </w:rPr>
      </w:pPr>
    </w:p>
    <w:p>
      <w:pPr>
        <w:spacing w:line="580" w:lineRule="exact"/>
        <w:rPr>
          <w:rStyle w:val="10"/>
          <w:rFonts w:ascii="仿宋_GB2312" w:hAnsi="仿宋_GB2312" w:eastAsia="仿宋_GB2312" w:cs="仿宋_GB2312"/>
          <w:b/>
          <w:sz w:val="32"/>
          <w:szCs w:val="32"/>
        </w:rPr>
      </w:pPr>
      <w:r>
        <w:rPr>
          <w:rStyle w:val="10"/>
          <w:rFonts w:hint="eastAsia" w:ascii="黑体" w:hAnsi="黑体" w:eastAsia="黑体" w:cs="黑体"/>
          <w:bCs/>
          <w:sz w:val="32"/>
          <w:szCs w:val="32"/>
        </w:rPr>
        <w:t>第一部分 总 则</w:t>
      </w:r>
    </w:p>
    <w:p>
      <w:pPr>
        <w:spacing w:line="580" w:lineRule="exact"/>
        <w:ind w:firstLine="632" w:firstLineChars="196"/>
        <w:rPr>
          <w:rStyle w:val="10"/>
          <w:rFonts w:ascii="仿宋_GB2312" w:hAnsi="仿宋_GB2312" w:eastAsia="仿宋_GB2312" w:cs="仿宋_GB2312"/>
          <w:b/>
          <w:bCs/>
          <w:sz w:val="32"/>
          <w:szCs w:val="32"/>
        </w:rPr>
      </w:pPr>
      <w:r>
        <w:rPr>
          <w:rStyle w:val="10"/>
          <w:rFonts w:hint="eastAsia" w:ascii="楷体" w:hAnsi="楷体" w:eastAsia="楷体" w:cs="楷体"/>
          <w:sz w:val="32"/>
          <w:szCs w:val="32"/>
        </w:rPr>
        <w:t>一、征收补偿对象及补偿方式</w:t>
      </w:r>
    </w:p>
    <w:p>
      <w:pPr>
        <w:spacing w:line="580" w:lineRule="exact"/>
        <w:ind w:firstLine="646" w:firstLineChars="200"/>
        <w:rPr>
          <w:rFonts w:ascii="仿宋_GB2312" w:hAnsi="仿宋_GB2312" w:eastAsia="仿宋_GB2312" w:cs="仿宋_GB2312"/>
          <w:sz w:val="32"/>
          <w:szCs w:val="32"/>
        </w:rPr>
      </w:pPr>
      <w:r>
        <w:rPr>
          <w:rStyle w:val="10"/>
          <w:rFonts w:hint="eastAsia" w:ascii="仿宋_GB2312" w:hAnsi="仿宋_GB2312" w:eastAsia="仿宋_GB2312" w:cs="仿宋_GB2312"/>
          <w:b/>
          <w:sz w:val="32"/>
          <w:szCs w:val="32"/>
        </w:rPr>
        <w:t>（一）征收范围：</w:t>
      </w:r>
      <w:r>
        <w:rPr>
          <w:rFonts w:hint="eastAsia" w:ascii="仿宋_GB2312" w:hAnsi="仿宋_GB2312" w:eastAsia="仿宋_GB2312" w:cs="仿宋_GB2312"/>
          <w:sz w:val="32"/>
          <w:szCs w:val="32"/>
        </w:rPr>
        <w:t>以区政府出具并经泉州市自然资源和规划局审核的征收范围图为准。</w:t>
      </w:r>
    </w:p>
    <w:p>
      <w:pPr>
        <w:spacing w:line="580" w:lineRule="exact"/>
        <w:ind w:firstLine="646" w:firstLineChars="200"/>
        <w:rPr>
          <w:rFonts w:ascii="仿宋_GB2312" w:hAnsi="仿宋_GB2312" w:eastAsia="仿宋_GB2312" w:cs="仿宋_GB2312"/>
          <w:sz w:val="32"/>
          <w:szCs w:val="32"/>
        </w:rPr>
      </w:pPr>
      <w:r>
        <w:rPr>
          <w:rStyle w:val="10"/>
          <w:rFonts w:hint="eastAsia" w:ascii="仿宋_GB2312" w:hAnsi="仿宋_GB2312" w:eastAsia="仿宋_GB2312" w:cs="仿宋_GB2312"/>
          <w:b/>
          <w:sz w:val="32"/>
          <w:szCs w:val="32"/>
        </w:rPr>
        <w:t>（二）征收补偿对象：</w:t>
      </w:r>
      <w:r>
        <w:rPr>
          <w:rFonts w:hint="eastAsia" w:ascii="仿宋_GB2312" w:hAnsi="仿宋_GB2312" w:eastAsia="仿宋_GB2312" w:cs="仿宋_GB2312"/>
          <w:sz w:val="32"/>
          <w:szCs w:val="32"/>
        </w:rPr>
        <w:t>凡在本征收范围内被征收房屋的所有权人为被征收人。房屋征收部门应与被征收人签订征收补偿安置协议。</w:t>
      </w:r>
    </w:p>
    <w:p>
      <w:pPr>
        <w:tabs>
          <w:tab w:val="left" w:pos="4252"/>
          <w:tab w:val="center" w:leader="middleDot" w:pos="8504"/>
        </w:tabs>
        <w:spacing w:line="580" w:lineRule="exact"/>
        <w:ind w:firstLine="632" w:firstLineChars="196"/>
        <w:rPr>
          <w:rStyle w:val="10"/>
          <w:rFonts w:ascii="仿宋_GB2312" w:hAnsi="仿宋_GB2312" w:eastAsia="仿宋_GB2312" w:cs="仿宋_GB2312"/>
          <w:sz w:val="32"/>
          <w:szCs w:val="32"/>
        </w:rPr>
      </w:pPr>
      <w:r>
        <w:rPr>
          <w:rStyle w:val="10"/>
          <w:rFonts w:hint="eastAsia" w:ascii="仿宋_GB2312" w:hAnsi="仿宋_GB2312" w:eastAsia="仿宋_GB2312" w:cs="仿宋_GB2312"/>
          <w:b/>
          <w:sz w:val="32"/>
          <w:szCs w:val="32"/>
        </w:rPr>
        <w:t>（三）补偿方式：</w:t>
      </w:r>
    </w:p>
    <w:p>
      <w:pPr>
        <w:tabs>
          <w:tab w:val="left" w:pos="4252"/>
          <w:tab w:val="center" w:leader="middleDot" w:pos="8504"/>
        </w:tabs>
        <w:spacing w:line="580" w:lineRule="exact"/>
        <w:ind w:firstLine="632" w:firstLineChars="196"/>
        <w:rPr>
          <w:rStyle w:val="10"/>
          <w:rFonts w:ascii="仿宋_GB2312" w:hAnsi="仿宋_GB2312" w:eastAsia="仿宋_GB2312" w:cs="仿宋_GB2312"/>
          <w:color w:val="FF0000"/>
          <w:sz w:val="32"/>
          <w:szCs w:val="32"/>
        </w:rPr>
      </w:pPr>
      <w:r>
        <w:rPr>
          <w:rStyle w:val="10"/>
          <w:rFonts w:hint="eastAsia" w:ascii="仿宋_GB2312" w:hAnsi="仿宋_GB2312" w:eastAsia="仿宋_GB2312" w:cs="仿宋_GB2312"/>
          <w:sz w:val="32"/>
          <w:szCs w:val="32"/>
        </w:rPr>
        <w:t>1.住宅房屋可选择货币补偿，也可选择产权调换。鼓励被征收人选择货币补偿。选择货币补偿，且不购买新建安商房的，必须权属清楚。凡权属不清或有产权纠纷的，必须实行房屋产权调换或购买安商房。</w:t>
      </w:r>
    </w:p>
    <w:p>
      <w:pPr>
        <w:tabs>
          <w:tab w:val="left" w:pos="4252"/>
          <w:tab w:val="center" w:leader="middleDot" w:pos="8504"/>
        </w:tabs>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2.被征收房屋面积较大、产权清楚的，可选择部分货币补偿结合部分房屋产权调换，但房屋产权调换部分只按等价置换，不予享受扩购优惠。</w:t>
      </w:r>
    </w:p>
    <w:p>
      <w:pPr>
        <w:tabs>
          <w:tab w:val="left" w:pos="4252"/>
          <w:tab w:val="center" w:leader="middleDot" w:pos="8504"/>
        </w:tabs>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3.产权清楚的被征收住宅面积在30</w:t>
      </w:r>
      <w:r>
        <w:rPr>
          <w:rStyle w:val="10"/>
          <w:rFonts w:hint="eastAsia" w:ascii="仿宋_GB2312" w:hAnsi="仿宋_GB2312" w:eastAsia="仿宋_GB2312" w:cs="仿宋_GB2312"/>
          <w:kern w:val="0"/>
          <w:sz w:val="32"/>
          <w:szCs w:val="32"/>
        </w:rPr>
        <w:t>㎡</w:t>
      </w:r>
      <w:r>
        <w:rPr>
          <w:rStyle w:val="10"/>
          <w:rFonts w:hint="eastAsia" w:ascii="仿宋_GB2312" w:hAnsi="仿宋_GB2312" w:eastAsia="仿宋_GB2312" w:cs="仿宋_GB2312"/>
          <w:sz w:val="32"/>
          <w:szCs w:val="32"/>
        </w:rPr>
        <w:t>以下（含30</w:t>
      </w:r>
      <w:r>
        <w:rPr>
          <w:rStyle w:val="10"/>
          <w:rFonts w:hint="eastAsia" w:ascii="仿宋_GB2312" w:hAnsi="仿宋_GB2312" w:eastAsia="仿宋_GB2312" w:cs="仿宋_GB2312"/>
          <w:kern w:val="0"/>
          <w:sz w:val="32"/>
          <w:szCs w:val="32"/>
        </w:rPr>
        <w:t>㎡</w:t>
      </w:r>
      <w:r>
        <w:rPr>
          <w:rStyle w:val="10"/>
          <w:rFonts w:hint="eastAsia" w:ascii="仿宋_GB2312" w:hAnsi="仿宋_GB2312" w:eastAsia="仿宋_GB2312" w:cs="仿宋_GB2312"/>
          <w:sz w:val="32"/>
          <w:szCs w:val="32"/>
        </w:rPr>
        <w:t>）的，原则上只能选择货币补偿</w:t>
      </w:r>
      <w:r>
        <w:rPr>
          <w:rStyle w:val="10"/>
          <w:rFonts w:hint="eastAsia" w:ascii="仿宋_GB2312" w:hAnsi="仿宋_GB2312" w:eastAsia="仿宋_GB2312" w:cs="仿宋_GB2312"/>
          <w:b/>
          <w:bCs/>
          <w:sz w:val="32"/>
          <w:szCs w:val="32"/>
        </w:rPr>
        <w:t>（不再享有本项目新建房源的购买资格）</w:t>
      </w:r>
      <w:r>
        <w:rPr>
          <w:rStyle w:val="10"/>
          <w:rFonts w:hint="eastAsia" w:ascii="仿宋_GB2312" w:hAnsi="仿宋_GB2312" w:eastAsia="仿宋_GB2312" w:cs="仿宋_GB2312"/>
          <w:sz w:val="32"/>
          <w:szCs w:val="32"/>
        </w:rPr>
        <w:t>。</w:t>
      </w:r>
    </w:p>
    <w:p>
      <w:pPr>
        <w:tabs>
          <w:tab w:val="left" w:pos="4252"/>
          <w:tab w:val="center" w:leader="middleDot" w:pos="8504"/>
        </w:tabs>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4.店面、企业厂房、仓库及其他配套用房实行货币补偿，由依法选定的房地产价格评估机构进行评估，评估结果作为补偿依据。</w:t>
      </w:r>
    </w:p>
    <w:p>
      <w:pPr>
        <w:tabs>
          <w:tab w:val="left" w:pos="4252"/>
          <w:tab w:val="center" w:leader="middleDot" w:pos="8504"/>
        </w:tabs>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5.拆除违章建筑按有关规定处理。</w:t>
      </w:r>
    </w:p>
    <w:p>
      <w:pPr>
        <w:tabs>
          <w:tab w:val="left" w:pos="4252"/>
          <w:tab w:val="center" w:leader="middleDot" w:pos="8504"/>
        </w:tabs>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b/>
          <w:sz w:val="32"/>
          <w:szCs w:val="32"/>
        </w:rPr>
        <w:t>（四）性质、用途认定依据：</w:t>
      </w:r>
      <w:r>
        <w:rPr>
          <w:rStyle w:val="10"/>
          <w:rFonts w:hint="eastAsia" w:ascii="仿宋_GB2312" w:hAnsi="仿宋_GB2312" w:eastAsia="仿宋_GB2312" w:cs="仿宋_GB2312"/>
          <w:sz w:val="32"/>
          <w:szCs w:val="32"/>
        </w:rPr>
        <w:t>以《土地使用证》、《房屋所有权证》、《不动产权证》登记的用途或以规划、土地管理等部门颁发的合法有效文件为依据。</w:t>
      </w:r>
    </w:p>
    <w:p>
      <w:pPr>
        <w:tabs>
          <w:tab w:val="left" w:pos="4252"/>
          <w:tab w:val="center" w:leader="middleDot" w:pos="8504"/>
        </w:tabs>
        <w:spacing w:line="580" w:lineRule="exact"/>
        <w:ind w:firstLine="632" w:firstLineChars="196"/>
        <w:rPr>
          <w:rStyle w:val="10"/>
          <w:rFonts w:ascii="仿宋_GB2312" w:hAnsi="仿宋_GB2312" w:eastAsia="仿宋_GB2312" w:cs="仿宋_GB2312"/>
          <w:sz w:val="32"/>
          <w:szCs w:val="32"/>
        </w:rPr>
      </w:pPr>
      <w:r>
        <w:rPr>
          <w:rStyle w:val="10"/>
          <w:rFonts w:hint="eastAsia" w:ascii="仿宋_GB2312" w:hAnsi="仿宋_GB2312" w:eastAsia="仿宋_GB2312" w:cs="仿宋_GB2312"/>
          <w:b/>
          <w:sz w:val="32"/>
          <w:szCs w:val="32"/>
        </w:rPr>
        <w:t>（五）面积测算依据：</w:t>
      </w:r>
      <w:r>
        <w:rPr>
          <w:rStyle w:val="10"/>
          <w:rFonts w:hint="eastAsia" w:ascii="仿宋_GB2312" w:hAnsi="仿宋_GB2312" w:eastAsia="仿宋_GB2312" w:cs="仿宋_GB2312"/>
          <w:sz w:val="32"/>
          <w:szCs w:val="32"/>
        </w:rPr>
        <w:t>面积测量由具有房地产测绘资质的测量单位，依据国家、省、市现行房地产测绘技术规范</w:t>
      </w:r>
      <w:r>
        <w:rPr>
          <w:rFonts w:hint="eastAsia" w:ascii="仿宋_GB2312" w:hAnsi="仿宋_GB2312" w:eastAsia="仿宋_GB2312" w:cs="仿宋_GB2312"/>
          <w:sz w:val="32"/>
          <w:szCs w:val="32"/>
        </w:rPr>
        <w:t>计算</w:t>
      </w:r>
      <w:r>
        <w:rPr>
          <w:rStyle w:val="10"/>
          <w:rFonts w:hint="eastAsia" w:ascii="仿宋_GB2312" w:hAnsi="仿宋_GB2312" w:eastAsia="仿宋_GB2312" w:cs="仿宋_GB2312"/>
          <w:sz w:val="32"/>
          <w:szCs w:val="32"/>
        </w:rPr>
        <w:t>。</w:t>
      </w:r>
    </w:p>
    <w:p>
      <w:pPr>
        <w:tabs>
          <w:tab w:val="left" w:pos="4252"/>
          <w:tab w:val="center" w:leader="middleDot" w:pos="8504"/>
        </w:tabs>
        <w:spacing w:line="580" w:lineRule="exact"/>
        <w:ind w:firstLine="646" w:firstLineChars="200"/>
        <w:rPr>
          <w:rStyle w:val="10"/>
          <w:rFonts w:ascii="仿宋_GB2312" w:hAnsi="仿宋_GB2312" w:eastAsia="仿宋_GB2312" w:cs="仿宋_GB2312"/>
          <w:color w:val="000000" w:themeColor="text1"/>
          <w:sz w:val="32"/>
          <w:szCs w:val="32"/>
          <w14:textFill>
            <w14:solidFill>
              <w14:schemeClr w14:val="tx1"/>
            </w14:solidFill>
          </w14:textFill>
        </w:rPr>
      </w:pPr>
      <w:r>
        <w:rPr>
          <w:rStyle w:val="10"/>
          <w:rFonts w:hint="eastAsia" w:ascii="仿宋_GB2312" w:hAnsi="仿宋_GB2312" w:eastAsia="仿宋_GB2312" w:cs="仿宋_GB2312"/>
          <w:color w:val="000000" w:themeColor="text1"/>
          <w:sz w:val="32"/>
          <w:szCs w:val="32"/>
          <w14:textFill>
            <w14:solidFill>
              <w14:schemeClr w14:val="tx1"/>
            </w14:solidFill>
          </w14:textFill>
        </w:rPr>
        <w:t>1.对本方案中所列价格无异议、在征收决定公告规定的期限内签订协议并按时搬迁的，其被征收房屋（只针对住宅房屋）除按国家现行的房地产测量规范计算建筑面积外，有下列情况的可优惠计算征收面积：</w:t>
      </w:r>
    </w:p>
    <w:p>
      <w:pPr>
        <w:tabs>
          <w:tab w:val="left" w:pos="4252"/>
          <w:tab w:val="center" w:leader="middleDot" w:pos="8504"/>
        </w:tabs>
        <w:spacing w:line="580" w:lineRule="exact"/>
        <w:ind w:firstLine="632" w:firstLineChars="196"/>
        <w:rPr>
          <w:rStyle w:val="10"/>
          <w:rFonts w:ascii="仿宋_GB2312" w:hAnsi="仿宋_GB2312" w:eastAsia="仿宋_GB2312" w:cs="仿宋_GB2312"/>
          <w:color w:val="000000" w:themeColor="text1"/>
          <w:sz w:val="32"/>
          <w:szCs w:val="32"/>
          <w14:textFill>
            <w14:solidFill>
              <w14:schemeClr w14:val="tx1"/>
            </w14:solidFill>
          </w14:textFill>
        </w:rPr>
      </w:pPr>
      <w:r>
        <w:rPr>
          <w:rStyle w:val="10"/>
          <w:rFonts w:hint="eastAsia" w:ascii="仿宋_GB2312" w:hAnsi="仿宋_GB2312" w:eastAsia="仿宋_GB2312" w:cs="仿宋_GB2312"/>
          <w:color w:val="000000" w:themeColor="text1"/>
          <w:sz w:val="32"/>
          <w:szCs w:val="32"/>
          <w14:textFill>
            <w14:solidFill>
              <w14:schemeClr w14:val="tx1"/>
            </w14:solidFill>
          </w14:textFill>
        </w:rPr>
        <w:t>①利用坡屋顶空间作为阁楼的建筑，层高超过2.2米（含）的，按100％计算征收面积，楼底高度在2.2米（不含）以下，阁楼层高在1.6米（含）以上的部分按50％计算征收面积（层高在1.6米以下的部分按附属物给予补偿）。</w:t>
      </w:r>
    </w:p>
    <w:p>
      <w:pPr>
        <w:tabs>
          <w:tab w:val="left" w:pos="4252"/>
          <w:tab w:val="center" w:leader="middleDot" w:pos="8504"/>
        </w:tabs>
        <w:spacing w:line="580" w:lineRule="exact"/>
        <w:ind w:firstLine="632" w:firstLineChars="196"/>
        <w:rPr>
          <w:rStyle w:val="10"/>
          <w:rFonts w:ascii="仿宋_GB2312" w:hAnsi="仿宋_GB2312" w:eastAsia="仿宋_GB2312" w:cs="仿宋_GB2312"/>
          <w:sz w:val="32"/>
          <w:szCs w:val="32"/>
        </w:rPr>
      </w:pPr>
      <w:r>
        <w:rPr>
          <w:rStyle w:val="10"/>
          <w:rFonts w:hint="eastAsia" w:ascii="仿宋_GB2312" w:hAnsi="仿宋_GB2312" w:eastAsia="仿宋_GB2312" w:cs="仿宋_GB2312"/>
          <w:color w:val="000000" w:themeColor="text1"/>
          <w:sz w:val="32"/>
          <w:szCs w:val="32"/>
          <w14:textFill>
            <w14:solidFill>
              <w14:schemeClr w14:val="tx1"/>
            </w14:solidFill>
          </w14:textFill>
        </w:rPr>
        <w:t>②通往屋顶的风楼，层高超过2.2米（含）的，按100％计算征收面积。</w:t>
      </w:r>
      <w:r>
        <w:rPr>
          <w:rStyle w:val="10"/>
          <w:rFonts w:hint="eastAsia" w:ascii="仿宋_GB2312" w:hAnsi="仿宋_GB2312" w:eastAsia="仿宋_GB2312" w:cs="仿宋_GB2312"/>
          <w:sz w:val="32"/>
          <w:szCs w:val="32"/>
        </w:rPr>
        <w:t>层高在2.2米（不含）以下、1.6米（含）以上的部分按50%计算征收面积（层高在1.6米以下的部分按附属物给予补偿）。</w:t>
      </w:r>
    </w:p>
    <w:p>
      <w:pPr>
        <w:tabs>
          <w:tab w:val="left" w:pos="4252"/>
          <w:tab w:val="center" w:leader="middleDot" w:pos="8504"/>
        </w:tabs>
        <w:spacing w:line="580" w:lineRule="exact"/>
        <w:ind w:firstLine="632" w:firstLineChars="196"/>
        <w:rPr>
          <w:rStyle w:val="10"/>
          <w:rFonts w:ascii="仿宋_GB2312" w:hAnsi="仿宋_GB2312" w:eastAsia="仿宋_GB2312" w:cs="仿宋_GB2312"/>
          <w:color w:val="000000" w:themeColor="text1"/>
          <w:sz w:val="32"/>
          <w:szCs w:val="32"/>
          <w14:textFill>
            <w14:solidFill>
              <w14:schemeClr w14:val="tx1"/>
            </w14:solidFill>
          </w14:textFill>
        </w:rPr>
      </w:pPr>
      <w:r>
        <w:rPr>
          <w:rStyle w:val="10"/>
          <w:rFonts w:hint="eastAsia" w:ascii="仿宋_GB2312" w:hAnsi="仿宋_GB2312" w:eastAsia="仿宋_GB2312" w:cs="仿宋_GB2312"/>
          <w:color w:val="000000" w:themeColor="text1"/>
          <w:sz w:val="32"/>
          <w:szCs w:val="32"/>
          <w14:textFill>
            <w14:solidFill>
              <w14:schemeClr w14:val="tx1"/>
            </w14:solidFill>
          </w14:textFill>
        </w:rPr>
        <w:t>③</w:t>
      </w:r>
      <w:r>
        <w:rPr>
          <w:rStyle w:val="10"/>
          <w:rFonts w:hint="eastAsia" w:ascii="仿宋_GB2312" w:hAnsi="仿宋_GB2312" w:eastAsia="仿宋_GB2312" w:cs="仿宋_GB2312"/>
          <w:color w:val="000000" w:themeColor="text1"/>
          <w:spacing w:val="-11"/>
          <w:sz w:val="32"/>
          <w:szCs w:val="32"/>
          <w14:textFill>
            <w14:solidFill>
              <w14:schemeClr w14:val="tx1"/>
            </w14:solidFill>
          </w14:textFill>
        </w:rPr>
        <w:t>房屋顶层合法建筑面积为底层合法建筑面积1/3以内的（含），</w:t>
      </w:r>
      <w:r>
        <w:rPr>
          <w:rStyle w:val="10"/>
          <w:rFonts w:hint="eastAsia" w:ascii="仿宋_GB2312" w:hAnsi="仿宋_GB2312" w:eastAsia="仿宋_GB2312" w:cs="仿宋_GB2312"/>
          <w:color w:val="000000" w:themeColor="text1"/>
          <w:sz w:val="32"/>
          <w:szCs w:val="32"/>
          <w14:textFill>
            <w14:solidFill>
              <w14:schemeClr w14:val="tx1"/>
            </w14:solidFill>
          </w14:textFill>
        </w:rPr>
        <w:t>不计入总层数。</w:t>
      </w:r>
    </w:p>
    <w:p>
      <w:pPr>
        <w:tabs>
          <w:tab w:val="left" w:pos="4252"/>
          <w:tab w:val="center" w:leader="middleDot" w:pos="8504"/>
        </w:tabs>
        <w:spacing w:line="580" w:lineRule="exact"/>
        <w:ind w:firstLine="646" w:firstLineChars="200"/>
        <w:rPr>
          <w:rStyle w:val="10"/>
          <w:rFonts w:ascii="仿宋_GB2312" w:hAnsi="仿宋_GB2312" w:eastAsia="仿宋_GB2312" w:cs="仿宋_GB2312"/>
          <w:b/>
          <w:bCs/>
          <w:sz w:val="32"/>
          <w:szCs w:val="32"/>
        </w:rPr>
      </w:pPr>
      <w:r>
        <w:rPr>
          <w:rStyle w:val="10"/>
          <w:rFonts w:hint="eastAsia" w:ascii="仿宋_GB2312" w:hAnsi="仿宋_GB2312" w:eastAsia="仿宋_GB2312" w:cs="仿宋_GB2312"/>
          <w:color w:val="000000" w:themeColor="text1"/>
          <w:sz w:val="32"/>
          <w:szCs w:val="32"/>
          <w14:textFill>
            <w14:solidFill>
              <w14:schemeClr w14:val="tx1"/>
            </w14:solidFill>
          </w14:textFill>
        </w:rPr>
        <w:t>2.对本方案中所列价格有异议、未在征收决定公告规定期限内完成签订协议并按时搬迁的，其被征收房屋建筑面积按国</w:t>
      </w:r>
      <w:r>
        <w:rPr>
          <w:rStyle w:val="10"/>
          <w:rFonts w:hint="eastAsia" w:ascii="仿宋_GB2312" w:hAnsi="仿宋_GB2312" w:eastAsia="仿宋_GB2312" w:cs="仿宋_GB2312"/>
          <w:color w:val="000000" w:themeColor="text1"/>
          <w:spacing w:val="-4"/>
          <w:sz w:val="32"/>
          <w:szCs w:val="32"/>
          <w14:textFill>
            <w14:solidFill>
              <w14:schemeClr w14:val="tx1"/>
            </w14:solidFill>
          </w14:textFill>
        </w:rPr>
        <w:t>家现行房地产测量规范计算，不再适用上述计算面积的优惠办法。</w:t>
      </w:r>
    </w:p>
    <w:p>
      <w:pPr>
        <w:spacing w:line="580" w:lineRule="exact"/>
        <w:ind w:firstLine="632" w:firstLineChars="196"/>
        <w:rPr>
          <w:rStyle w:val="10"/>
          <w:rFonts w:ascii="仿宋_GB2312" w:hAnsi="仿宋_GB2312" w:eastAsia="仿宋_GB2312" w:cs="仿宋_GB2312"/>
          <w:sz w:val="32"/>
          <w:szCs w:val="32"/>
        </w:rPr>
      </w:pPr>
      <w:r>
        <w:rPr>
          <w:rStyle w:val="10"/>
          <w:rFonts w:hint="eastAsia" w:ascii="楷体" w:hAnsi="楷体" w:eastAsia="楷体" w:cs="楷体"/>
          <w:sz w:val="32"/>
          <w:szCs w:val="32"/>
        </w:rPr>
        <w:t>二、征收组织实施机构</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b/>
          <w:sz w:val="32"/>
          <w:szCs w:val="32"/>
        </w:rPr>
        <w:t>（一）房屋征收部门：</w:t>
      </w:r>
      <w:r>
        <w:rPr>
          <w:rStyle w:val="10"/>
          <w:rFonts w:hint="eastAsia" w:ascii="仿宋_GB2312" w:hAnsi="仿宋_GB2312" w:eastAsia="仿宋_GB2312" w:cs="仿宋_GB2312"/>
          <w:sz w:val="32"/>
          <w:szCs w:val="32"/>
        </w:rPr>
        <w:t>泉州市丰泽区住房和城乡建设局。</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b/>
          <w:sz w:val="32"/>
          <w:szCs w:val="32"/>
        </w:rPr>
        <w:t>（二）征收实施单位：</w:t>
      </w:r>
      <w:r>
        <w:rPr>
          <w:rStyle w:val="10"/>
          <w:rFonts w:hint="eastAsia" w:ascii="仿宋_GB2312" w:hAnsi="仿宋_GB2312" w:eastAsia="仿宋_GB2312" w:cs="仿宋_GB2312"/>
          <w:sz w:val="32"/>
          <w:szCs w:val="32"/>
        </w:rPr>
        <w:t>按属地原则，由项目所在地北峰街道办事处承担房屋征收与补偿的具体工作。</w:t>
      </w:r>
    </w:p>
    <w:p>
      <w:pPr>
        <w:spacing w:line="580" w:lineRule="exact"/>
        <w:ind w:firstLine="632" w:firstLineChars="196"/>
        <w:rPr>
          <w:rStyle w:val="10"/>
          <w:rFonts w:ascii="仿宋_GB2312" w:hAnsi="仿宋_GB2312" w:eastAsia="仿宋_GB2312" w:cs="仿宋_GB2312"/>
          <w:b/>
          <w:bCs/>
          <w:sz w:val="32"/>
          <w:szCs w:val="32"/>
        </w:rPr>
      </w:pPr>
      <w:r>
        <w:rPr>
          <w:rStyle w:val="10"/>
          <w:rFonts w:hint="eastAsia" w:ascii="楷体" w:hAnsi="楷体" w:eastAsia="楷体" w:cs="楷体"/>
          <w:sz w:val="32"/>
          <w:szCs w:val="32"/>
        </w:rPr>
        <w:t>三、签约期限</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签约期限以丰泽区人民政府发布的《泉州数字经济产业园三期项目房屋征收公告》规定的时间为准。</w:t>
      </w:r>
    </w:p>
    <w:p>
      <w:pPr>
        <w:spacing w:line="580" w:lineRule="exact"/>
        <w:ind w:firstLine="632" w:firstLineChars="196"/>
        <w:rPr>
          <w:rStyle w:val="10"/>
          <w:rFonts w:ascii="楷体" w:hAnsi="楷体" w:eastAsia="楷体" w:cs="楷体"/>
          <w:sz w:val="32"/>
          <w:szCs w:val="32"/>
        </w:rPr>
      </w:pPr>
      <w:r>
        <w:rPr>
          <w:rStyle w:val="10"/>
          <w:rFonts w:hint="eastAsia" w:ascii="楷体" w:hAnsi="楷体" w:eastAsia="楷体" w:cs="楷体"/>
          <w:sz w:val="32"/>
          <w:szCs w:val="32"/>
        </w:rPr>
        <w:t>四、工作流程</w:t>
      </w:r>
    </w:p>
    <w:p>
      <w:pPr>
        <w:spacing w:line="580" w:lineRule="exact"/>
        <w:ind w:firstLine="632" w:firstLineChars="196"/>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基本流程分为入户宣传、对未经登记的建筑进行调查认定处理、实地测量、面积核对、装修等级和类别的评定、清点附属物、签订协议、腾空验收、财务结算、建筑物拆除、选取安商房、回迁。被征收人应及时提供身份证、户口簿、产权证明材料，配合工作人员办理补偿安置相关工作。</w:t>
      </w:r>
    </w:p>
    <w:p>
      <w:pPr>
        <w:spacing w:line="580" w:lineRule="exact"/>
        <w:ind w:firstLine="632" w:firstLineChars="196"/>
        <w:rPr>
          <w:rStyle w:val="10"/>
          <w:rFonts w:ascii="楷体" w:hAnsi="楷体" w:eastAsia="楷体" w:cs="楷体"/>
          <w:sz w:val="32"/>
          <w:szCs w:val="32"/>
        </w:rPr>
      </w:pPr>
      <w:r>
        <w:rPr>
          <w:rStyle w:val="10"/>
          <w:rFonts w:hint="eastAsia" w:ascii="楷体" w:hAnsi="楷体" w:eastAsia="楷体" w:cs="楷体"/>
          <w:sz w:val="32"/>
          <w:szCs w:val="32"/>
        </w:rPr>
        <w:t>五、安置地点</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就近地段新建安商房。安商房建设标准符合国家相关住宅建设规范并通过验收。</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楷体" w:hAnsi="楷体" w:eastAsia="楷体" w:cs="楷体"/>
          <w:sz w:val="32"/>
          <w:szCs w:val="32"/>
        </w:rPr>
        <w:t>六、选房办法</w:t>
      </w:r>
      <w:r>
        <w:rPr>
          <w:rStyle w:val="10"/>
          <w:rFonts w:hint="eastAsia" w:ascii="仿宋_GB2312" w:hAnsi="仿宋_GB2312" w:eastAsia="仿宋_GB2312" w:cs="仿宋_GB2312"/>
          <w:sz w:val="32"/>
          <w:szCs w:val="32"/>
        </w:rPr>
        <w:t xml:space="preserve">    </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实行“先签订协议并搬迁腾空，先选房”原则。由征收单位发给《房屋搬迁腾空验收登记表》，经公示无异议后，被征收人凭《房屋搬迁腾空验收登记表》，换取《征收补偿选房证顺序号》。安置时被征收人凭《征收补偿选房证顺序号》按顺序选房并签订选房安置协议或《商品房购房协议》。</w:t>
      </w:r>
    </w:p>
    <w:p>
      <w:pPr>
        <w:spacing w:line="580" w:lineRule="exact"/>
        <w:ind w:firstLine="646" w:firstLineChars="200"/>
        <w:rPr>
          <w:rStyle w:val="10"/>
          <w:rFonts w:ascii="楷体" w:hAnsi="楷体" w:eastAsia="楷体" w:cs="楷体"/>
          <w:sz w:val="32"/>
          <w:szCs w:val="32"/>
        </w:rPr>
      </w:pPr>
      <w:r>
        <w:rPr>
          <w:rStyle w:val="10"/>
          <w:rFonts w:hint="eastAsia" w:ascii="楷体" w:hAnsi="楷体" w:eastAsia="楷体" w:cs="楷体"/>
          <w:sz w:val="32"/>
          <w:szCs w:val="32"/>
        </w:rPr>
        <w:t>七、被征收房屋补偿价格确定办法</w:t>
      </w:r>
    </w:p>
    <w:p>
      <w:pPr>
        <w:spacing w:line="580" w:lineRule="exact"/>
        <w:ind w:firstLine="646" w:firstLineChars="200"/>
        <w:rPr>
          <w:rFonts w:ascii="仿宋_GB2312" w:hAnsi="仿宋_GB2312" w:eastAsia="仿宋_GB2312" w:cs="仿宋_GB2312"/>
          <w:sz w:val="32"/>
          <w:szCs w:val="32"/>
        </w:rPr>
      </w:pPr>
      <w:r>
        <w:rPr>
          <w:rStyle w:val="10"/>
          <w:rFonts w:hint="eastAsia" w:ascii="仿宋_GB2312" w:hAnsi="仿宋_GB2312" w:eastAsia="仿宋_GB2312" w:cs="仿宋_GB2312"/>
          <w:b/>
          <w:sz w:val="32"/>
          <w:szCs w:val="32"/>
        </w:rPr>
        <w:t>（一）被征收房屋补偿基准价格：</w:t>
      </w:r>
      <w:r>
        <w:rPr>
          <w:rFonts w:hint="eastAsia" w:ascii="仿宋_GB2312" w:hAnsi="仿宋_GB2312" w:eastAsia="仿宋_GB2312" w:cs="仿宋_GB2312"/>
          <w:sz w:val="32"/>
          <w:szCs w:val="32"/>
        </w:rPr>
        <w:t>根据《泉州市推进房屋征收补偿安置工作若干意见》（泉政办[2022]9号）的规定，依法公开选定五家具有相应资质的房地产价格评估机构，进行征收补偿基准价评估，通过截尾均值的方法确定本房屋征收补偿方案中被征收房屋及安商房补偿参考价，房屋征收部门根据本方案与被征收人协商确定补偿。</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b/>
          <w:sz w:val="32"/>
          <w:szCs w:val="32"/>
        </w:rPr>
        <w:t>（二）分户补偿评估价：</w:t>
      </w:r>
      <w:r>
        <w:rPr>
          <w:rStyle w:val="10"/>
          <w:rFonts w:hint="eastAsia" w:ascii="仿宋_GB2312" w:hAnsi="仿宋_GB2312" w:eastAsia="仿宋_GB2312" w:cs="仿宋_GB2312"/>
          <w:bCs/>
          <w:sz w:val="32"/>
          <w:szCs w:val="32"/>
        </w:rPr>
        <w:t>被征收人</w:t>
      </w:r>
      <w:r>
        <w:rPr>
          <w:rStyle w:val="10"/>
          <w:rFonts w:hint="eastAsia" w:ascii="仿宋_GB2312" w:hAnsi="仿宋_GB2312" w:eastAsia="仿宋_GB2312" w:cs="仿宋_GB2312"/>
          <w:sz w:val="32"/>
          <w:szCs w:val="32"/>
        </w:rPr>
        <w:t>对本方案房屋补偿参考价有异议的，可由依法选定的房地产价格评估机构对被征收房屋价值进行评估，评估结果作为补偿依据(选择分户评估的不得再按本方案确定的基准价格进行补偿)。选择产权调换的，新建安商房房屋价值以安商房评估基准价计算，不享受优惠的结算价，并计算、结清被征收房屋价值与用于产权调换安商房价值的差价。</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被征收人或者房屋征收部门对房屋评估价值有异议的，应当自收到估价报告之日起10日内向原房地产价格评估机构申请复核评估。对复核结果仍有异议的，可以自收到复核结果10日内向市房地产价格评估专家委员会申请鉴定。</w:t>
      </w:r>
    </w:p>
    <w:p>
      <w:pPr>
        <w:spacing w:line="580" w:lineRule="exact"/>
        <w:rPr>
          <w:rStyle w:val="10"/>
          <w:rFonts w:ascii="仿宋_GB2312" w:hAnsi="仿宋_GB2312" w:eastAsia="仿宋_GB2312" w:cs="仿宋_GB2312"/>
          <w:b/>
          <w:sz w:val="32"/>
          <w:szCs w:val="32"/>
        </w:rPr>
      </w:pPr>
    </w:p>
    <w:p>
      <w:pPr>
        <w:spacing w:line="580" w:lineRule="exact"/>
        <w:jc w:val="center"/>
        <w:rPr>
          <w:rStyle w:val="10"/>
          <w:rFonts w:ascii="仿宋_GB2312" w:hAnsi="仿宋_GB2312" w:eastAsia="仿宋_GB2312" w:cs="仿宋_GB2312"/>
          <w:b/>
          <w:bCs/>
          <w:sz w:val="32"/>
          <w:szCs w:val="32"/>
        </w:rPr>
      </w:pPr>
      <w:r>
        <w:rPr>
          <w:rStyle w:val="10"/>
          <w:rFonts w:hint="eastAsia" w:ascii="黑体" w:hAnsi="黑体" w:eastAsia="黑体" w:cs="黑体"/>
          <w:bCs/>
          <w:sz w:val="32"/>
          <w:szCs w:val="32"/>
        </w:rPr>
        <w:t>第二部分 房屋权属认定和处理办法</w:t>
      </w:r>
    </w:p>
    <w:p>
      <w:pPr>
        <w:spacing w:line="580" w:lineRule="exact"/>
        <w:ind w:firstLine="646" w:firstLineChars="200"/>
        <w:rPr>
          <w:rStyle w:val="10"/>
          <w:rFonts w:ascii="仿宋_GB2312" w:hAnsi="仿宋_GB2312" w:eastAsia="仿宋_GB2312" w:cs="仿宋_GB2312"/>
          <w:b/>
          <w:bCs/>
          <w:kern w:val="0"/>
          <w:sz w:val="32"/>
          <w:szCs w:val="32"/>
        </w:rPr>
      </w:pPr>
      <w:r>
        <w:rPr>
          <w:rStyle w:val="10"/>
          <w:rFonts w:hint="eastAsia" w:ascii="楷体" w:hAnsi="楷体" w:eastAsia="楷体" w:cs="楷体"/>
          <w:sz w:val="32"/>
          <w:szCs w:val="32"/>
        </w:rPr>
        <w:t>八、被征收住宅房屋产权手续认定办法：</w:t>
      </w:r>
    </w:p>
    <w:p>
      <w:pPr>
        <w:spacing w:line="580" w:lineRule="exact"/>
        <w:ind w:firstLine="646" w:firstLineChars="200"/>
        <w:rPr>
          <w:rStyle w:val="10"/>
          <w:rFonts w:ascii="仿宋_GB2312" w:hAnsi="仿宋_GB2312" w:eastAsia="仿宋_GB2312" w:cs="仿宋_GB2312"/>
          <w:b/>
          <w:kern w:val="0"/>
          <w:sz w:val="32"/>
          <w:szCs w:val="32"/>
        </w:rPr>
      </w:pPr>
      <w:r>
        <w:rPr>
          <w:rStyle w:val="10"/>
          <w:rFonts w:hint="eastAsia" w:ascii="仿宋_GB2312" w:hAnsi="仿宋_GB2312" w:eastAsia="仿宋_GB2312" w:cs="仿宋_GB2312"/>
          <w:b/>
          <w:kern w:val="0"/>
          <w:sz w:val="32"/>
          <w:szCs w:val="32"/>
        </w:rPr>
        <w:t>（一）已登记的住宅房屋的认定和处理办法</w:t>
      </w:r>
    </w:p>
    <w:p>
      <w:pPr>
        <w:spacing w:line="580" w:lineRule="exact"/>
        <w:ind w:firstLine="646" w:firstLineChars="200"/>
        <w:rPr>
          <w:rStyle w:val="10"/>
          <w:rFonts w:ascii="仿宋_GB2312" w:hAnsi="仿宋_GB2312" w:eastAsia="仿宋_GB2312" w:cs="仿宋_GB2312"/>
          <w:kern w:val="0"/>
          <w:sz w:val="32"/>
          <w:szCs w:val="32"/>
        </w:rPr>
      </w:pPr>
      <w:r>
        <w:rPr>
          <w:rStyle w:val="10"/>
          <w:rFonts w:hint="eastAsia" w:ascii="仿宋_GB2312" w:hAnsi="仿宋_GB2312" w:eastAsia="仿宋_GB2312" w:cs="仿宋_GB2312"/>
          <w:kern w:val="0"/>
          <w:sz w:val="32"/>
          <w:szCs w:val="32"/>
        </w:rPr>
        <w:t>已登记的住宅房屋：指持有有效土地使用权证及房屋所有权证的产权手续完整的住宅房屋，按其所载面积计算补偿安置。</w:t>
      </w:r>
    </w:p>
    <w:p>
      <w:pPr>
        <w:spacing w:line="580" w:lineRule="exact"/>
        <w:ind w:firstLine="646" w:firstLineChars="200"/>
        <w:rPr>
          <w:rStyle w:val="10"/>
          <w:rFonts w:ascii="仿宋_GB2312" w:hAnsi="仿宋_GB2312" w:eastAsia="仿宋_GB2312" w:cs="仿宋_GB2312"/>
          <w:b/>
          <w:kern w:val="0"/>
          <w:sz w:val="32"/>
          <w:szCs w:val="32"/>
        </w:rPr>
      </w:pPr>
      <w:r>
        <w:rPr>
          <w:rStyle w:val="10"/>
          <w:rFonts w:hint="eastAsia" w:ascii="仿宋_GB2312" w:hAnsi="仿宋_GB2312" w:eastAsia="仿宋_GB2312" w:cs="仿宋_GB2312"/>
          <w:b/>
          <w:kern w:val="0"/>
          <w:sz w:val="32"/>
          <w:szCs w:val="32"/>
        </w:rPr>
        <w:t>（二）未经登记的住宅房屋的认定和处理办法</w:t>
      </w:r>
    </w:p>
    <w:p>
      <w:pPr>
        <w:spacing w:line="580" w:lineRule="exact"/>
        <w:ind w:firstLine="646" w:firstLineChars="200"/>
        <w:rPr>
          <w:rStyle w:val="10"/>
          <w:rFonts w:ascii="仿宋_GB2312" w:hAnsi="仿宋_GB2312" w:eastAsia="仿宋_GB2312" w:cs="仿宋_GB2312"/>
          <w:kern w:val="0"/>
          <w:sz w:val="32"/>
          <w:szCs w:val="32"/>
        </w:rPr>
      </w:pPr>
      <w:r>
        <w:rPr>
          <w:rStyle w:val="10"/>
          <w:rFonts w:hint="eastAsia" w:ascii="仿宋_GB2312" w:hAnsi="仿宋_GB2312" w:eastAsia="仿宋_GB2312" w:cs="仿宋_GB2312"/>
          <w:kern w:val="0"/>
          <w:sz w:val="32"/>
          <w:szCs w:val="32"/>
        </w:rPr>
        <w:t>未登记的住宅房屋严格按照市政府《中心市区国有土地上对未经登记建筑调查认定处理意见》</w:t>
      </w:r>
      <w:r>
        <w:rPr>
          <w:rStyle w:val="10"/>
          <w:rFonts w:hint="eastAsia" w:ascii="仿宋_GB2312" w:hAnsi="仿宋_GB2312" w:eastAsia="仿宋_GB2312" w:cs="仿宋_GB2312"/>
          <w:sz w:val="32"/>
          <w:szCs w:val="32"/>
        </w:rPr>
        <w:t>(泉政办〔2015〕112号)办理</w:t>
      </w:r>
      <w:r>
        <w:rPr>
          <w:rStyle w:val="10"/>
          <w:rFonts w:hint="eastAsia" w:ascii="仿宋_GB2312" w:hAnsi="仿宋_GB2312" w:eastAsia="仿宋_GB2312" w:cs="仿宋_GB2312"/>
          <w:kern w:val="0"/>
          <w:sz w:val="32"/>
          <w:szCs w:val="32"/>
        </w:rPr>
        <w:t>。</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kern w:val="0"/>
          <w:sz w:val="32"/>
          <w:szCs w:val="32"/>
        </w:rPr>
        <w:t>1.</w:t>
      </w:r>
      <w:r>
        <w:rPr>
          <w:rStyle w:val="10"/>
          <w:rFonts w:hint="eastAsia" w:ascii="仿宋_GB2312" w:hAnsi="仿宋_GB2312" w:eastAsia="仿宋_GB2312" w:cs="仿宋_GB2312"/>
          <w:sz w:val="32"/>
          <w:szCs w:val="32"/>
        </w:rPr>
        <w:t>未经登记的建筑有下列情形之一的，且属一户一宅对象的住宅房屋，三层以下部分（含三层）可按原批准面积给予补偿：</w:t>
      </w:r>
    </w:p>
    <w:p>
      <w:pPr>
        <w:spacing w:line="580" w:lineRule="exact"/>
        <w:ind w:firstLine="646" w:firstLineChars="200"/>
        <w:rPr>
          <w:rStyle w:val="10"/>
          <w:rFonts w:ascii="仿宋_GB2312" w:hAnsi="仿宋_GB2312" w:eastAsia="仿宋_GB2312" w:cs="仿宋_GB2312"/>
          <w:kern w:val="0"/>
          <w:sz w:val="32"/>
          <w:szCs w:val="32"/>
        </w:rPr>
      </w:pPr>
      <w:r>
        <w:rPr>
          <w:rStyle w:val="10"/>
          <w:rFonts w:hint="eastAsia" w:ascii="仿宋_GB2312" w:hAnsi="仿宋_GB2312" w:eastAsia="仿宋_GB2312" w:cs="仿宋_GB2312"/>
          <w:kern w:val="0"/>
          <w:sz w:val="32"/>
          <w:szCs w:val="32"/>
        </w:rPr>
        <w:t>（1）“土改”时县级以上人民政府颁发的《土地房产所有证》记载的住宅房屋；</w:t>
      </w:r>
    </w:p>
    <w:p>
      <w:pPr>
        <w:spacing w:line="580" w:lineRule="exact"/>
        <w:ind w:firstLine="646" w:firstLineChars="200"/>
        <w:rPr>
          <w:rStyle w:val="10"/>
          <w:rFonts w:ascii="仿宋_GB2312" w:hAnsi="仿宋_GB2312" w:eastAsia="仿宋_GB2312" w:cs="仿宋_GB2312"/>
          <w:kern w:val="0"/>
          <w:sz w:val="32"/>
          <w:szCs w:val="32"/>
        </w:rPr>
      </w:pPr>
      <w:r>
        <w:rPr>
          <w:rStyle w:val="10"/>
          <w:rFonts w:hint="eastAsia" w:ascii="仿宋_GB2312" w:hAnsi="仿宋_GB2312" w:eastAsia="仿宋_GB2312" w:cs="仿宋_GB2312"/>
          <w:kern w:val="0"/>
          <w:sz w:val="32"/>
          <w:szCs w:val="32"/>
        </w:rPr>
        <w:t>（2）1987年1月1日《中华人民共和国土地管理法》实施前，经生产队（村民小组）、大队（村委会）、公社（乡、镇）三级批准基建的住宅房屋；</w:t>
      </w:r>
    </w:p>
    <w:p>
      <w:pPr>
        <w:spacing w:line="580" w:lineRule="exact"/>
        <w:ind w:firstLine="646" w:firstLineChars="200"/>
        <w:rPr>
          <w:rStyle w:val="10"/>
          <w:rFonts w:ascii="仿宋_GB2312" w:hAnsi="仿宋_GB2312" w:eastAsia="仿宋_GB2312" w:cs="仿宋_GB2312"/>
          <w:kern w:val="0"/>
          <w:sz w:val="32"/>
          <w:szCs w:val="32"/>
        </w:rPr>
      </w:pPr>
      <w:r>
        <w:rPr>
          <w:rStyle w:val="10"/>
          <w:rFonts w:hint="eastAsia" w:ascii="仿宋_GB2312" w:hAnsi="仿宋_GB2312" w:eastAsia="仿宋_GB2312" w:cs="仿宋_GB2312"/>
          <w:kern w:val="0"/>
          <w:sz w:val="32"/>
          <w:szCs w:val="32"/>
        </w:rPr>
        <w:t>（3）1987年1月1日《中华人民共和国土地管理法》实施后至1995年12月25日泉州市人民政府《关于泉州市城市规划区范围内实行统一规划管理的通知》（泉政〔1995〕综309号）实施前，经县级政府批准使用耕地基建的或经乡（镇）级政府批准使用空闲杂地基建的住宅房屋；</w:t>
      </w:r>
    </w:p>
    <w:p>
      <w:pPr>
        <w:spacing w:line="580" w:lineRule="exact"/>
        <w:ind w:firstLine="646" w:firstLineChars="200"/>
        <w:rPr>
          <w:rStyle w:val="10"/>
          <w:rFonts w:ascii="仿宋_GB2312" w:hAnsi="仿宋_GB2312" w:eastAsia="仿宋_GB2312" w:cs="仿宋_GB2312"/>
          <w:kern w:val="0"/>
          <w:sz w:val="32"/>
          <w:szCs w:val="32"/>
        </w:rPr>
      </w:pPr>
      <w:r>
        <w:rPr>
          <w:rStyle w:val="10"/>
          <w:rFonts w:hint="eastAsia" w:ascii="仿宋_GB2312" w:hAnsi="仿宋_GB2312" w:eastAsia="仿宋_GB2312" w:cs="仿宋_GB2312"/>
          <w:kern w:val="0"/>
          <w:sz w:val="32"/>
          <w:szCs w:val="32"/>
        </w:rPr>
        <w:t>（4）1995年12月25日泉州市人民政府《关于泉州市城市规划区范围内实行统一规划管理的通知》（泉政〔1995〕综309号）实施后，经泉州市城乡规划行政主管部门批准基建的住宅房屋；</w:t>
      </w:r>
    </w:p>
    <w:p>
      <w:pPr>
        <w:spacing w:line="580" w:lineRule="exact"/>
        <w:ind w:firstLine="646" w:firstLineChars="200"/>
        <w:rPr>
          <w:rStyle w:val="10"/>
          <w:rFonts w:ascii="仿宋_GB2312" w:hAnsi="仿宋_GB2312" w:eastAsia="仿宋_GB2312" w:cs="仿宋_GB2312"/>
          <w:kern w:val="0"/>
          <w:sz w:val="32"/>
          <w:szCs w:val="32"/>
        </w:rPr>
      </w:pPr>
      <w:r>
        <w:rPr>
          <w:rStyle w:val="10"/>
          <w:rFonts w:hint="eastAsia" w:ascii="仿宋_GB2312" w:hAnsi="仿宋_GB2312" w:eastAsia="仿宋_GB2312" w:cs="仿宋_GB2312"/>
          <w:kern w:val="0"/>
          <w:sz w:val="32"/>
          <w:szCs w:val="32"/>
        </w:rPr>
        <w:t>（5）持有市、区土地清查手续及发票（原件）的住宅房屋；</w:t>
      </w:r>
    </w:p>
    <w:p>
      <w:pPr>
        <w:spacing w:line="580" w:lineRule="exact"/>
        <w:ind w:firstLine="646" w:firstLineChars="200"/>
        <w:rPr>
          <w:rStyle w:val="10"/>
          <w:rFonts w:ascii="仿宋_GB2312" w:hAnsi="仿宋_GB2312" w:eastAsia="仿宋_GB2312" w:cs="仿宋_GB2312"/>
          <w:kern w:val="0"/>
          <w:sz w:val="32"/>
          <w:szCs w:val="32"/>
        </w:rPr>
      </w:pPr>
      <w:r>
        <w:rPr>
          <w:rStyle w:val="10"/>
          <w:rFonts w:hint="eastAsia" w:ascii="仿宋_GB2312" w:hAnsi="仿宋_GB2312" w:eastAsia="仿宋_GB2312" w:cs="仿宋_GB2312"/>
          <w:kern w:val="0"/>
          <w:sz w:val="32"/>
          <w:szCs w:val="32"/>
        </w:rPr>
        <w:t>（6）征收属市（县、区）政府建设项目二次安置自建的住宅房屋；</w:t>
      </w:r>
    </w:p>
    <w:p>
      <w:pPr>
        <w:spacing w:line="580" w:lineRule="exact"/>
        <w:ind w:firstLine="646" w:firstLineChars="200"/>
        <w:rPr>
          <w:rStyle w:val="10"/>
          <w:rFonts w:ascii="仿宋_GB2312" w:hAnsi="仿宋_GB2312" w:eastAsia="仿宋_GB2312" w:cs="仿宋_GB2312"/>
          <w:kern w:val="0"/>
          <w:sz w:val="32"/>
          <w:szCs w:val="32"/>
        </w:rPr>
      </w:pPr>
      <w:r>
        <w:rPr>
          <w:rStyle w:val="10"/>
          <w:rFonts w:hint="eastAsia" w:ascii="仿宋_GB2312" w:hAnsi="仿宋_GB2312" w:eastAsia="仿宋_GB2312" w:cs="仿宋_GB2312"/>
          <w:kern w:val="0"/>
          <w:sz w:val="32"/>
          <w:szCs w:val="32"/>
        </w:rPr>
        <w:t>（7）征收属市（区）委、市（区）政府定点新村建设、旧村改造项目自建的住宅房屋；</w:t>
      </w:r>
    </w:p>
    <w:p>
      <w:pPr>
        <w:spacing w:line="580" w:lineRule="exact"/>
        <w:ind w:firstLine="646" w:firstLineChars="200"/>
        <w:rPr>
          <w:rStyle w:val="10"/>
          <w:rFonts w:ascii="仿宋_GB2312" w:hAnsi="仿宋_GB2312" w:eastAsia="仿宋_GB2312" w:cs="仿宋_GB2312"/>
          <w:kern w:val="0"/>
          <w:sz w:val="32"/>
          <w:szCs w:val="32"/>
        </w:rPr>
      </w:pPr>
      <w:r>
        <w:rPr>
          <w:rStyle w:val="10"/>
          <w:rFonts w:hint="eastAsia" w:ascii="仿宋_GB2312" w:hAnsi="仿宋_GB2312" w:eastAsia="仿宋_GB2312" w:cs="仿宋_GB2312"/>
          <w:kern w:val="0"/>
          <w:sz w:val="32"/>
          <w:szCs w:val="32"/>
        </w:rPr>
        <w:t>（8）根据市委办、市政府办《泉州市违法占地、违法建设认定及分类处置的指导意见》（泉委办发〔2014〕16号）的规定，补办基建审批手续的住宅房屋。</w:t>
      </w:r>
    </w:p>
    <w:p>
      <w:pPr>
        <w:spacing w:line="580" w:lineRule="exact"/>
        <w:ind w:firstLine="646" w:firstLineChars="200"/>
        <w:rPr>
          <w:rFonts w:ascii="仿宋_GB2312" w:hAnsi="仿宋_GB2312" w:eastAsia="仿宋_GB2312" w:cs="仿宋_GB2312"/>
          <w:sz w:val="32"/>
          <w:szCs w:val="32"/>
        </w:rPr>
      </w:pPr>
      <w:r>
        <w:rPr>
          <w:rStyle w:val="10"/>
          <w:rFonts w:hint="eastAsia" w:ascii="仿宋_GB2312" w:hAnsi="仿宋_GB2312" w:eastAsia="仿宋_GB2312" w:cs="仿宋_GB2312"/>
          <w:kern w:val="0"/>
          <w:sz w:val="32"/>
          <w:szCs w:val="32"/>
        </w:rPr>
        <w:t>2.</w:t>
      </w:r>
      <w:r>
        <w:rPr>
          <w:rStyle w:val="10"/>
          <w:rFonts w:hint="eastAsia" w:ascii="仿宋_GB2312" w:hAnsi="仿宋_GB2312" w:eastAsia="仿宋_GB2312" w:cs="仿宋_GB2312"/>
          <w:sz w:val="32"/>
          <w:szCs w:val="32"/>
        </w:rPr>
        <w:t>对于基建手续不完整的未经登记建筑，但属一户一宅对象的住宅房屋，被征收人在征收决定规定的签约期限内签定协议并搬迁的，可本着尊重历史的原则，</w:t>
      </w:r>
      <w:r>
        <w:rPr>
          <w:rFonts w:hint="eastAsia" w:ascii="仿宋_GB2312" w:hAnsi="仿宋_GB2312" w:eastAsia="仿宋_GB2312" w:cs="仿宋_GB2312"/>
          <w:sz w:val="32"/>
          <w:szCs w:val="32"/>
        </w:rPr>
        <w:t>分类给予补偿。</w:t>
      </w:r>
    </w:p>
    <w:p>
      <w:pPr>
        <w:spacing w:line="580" w:lineRule="exact"/>
        <w:ind w:firstLine="640"/>
        <w:rPr>
          <w:rStyle w:val="10"/>
          <w:rFonts w:ascii="仿宋_GB2312" w:hAnsi="仿宋_GB2312" w:eastAsia="仿宋_GB2312" w:cs="仿宋_GB2312"/>
          <w:kern w:val="0"/>
          <w:sz w:val="32"/>
          <w:szCs w:val="32"/>
        </w:rPr>
      </w:pPr>
      <w:r>
        <w:rPr>
          <w:rStyle w:val="10"/>
          <w:rFonts w:hint="eastAsia" w:ascii="仿宋_GB2312" w:hAnsi="仿宋_GB2312" w:eastAsia="仿宋_GB2312" w:cs="仿宋_GB2312"/>
          <w:kern w:val="0"/>
          <w:sz w:val="32"/>
          <w:szCs w:val="32"/>
        </w:rPr>
        <w:t>3.未经批准扩建或基建的未登记建筑的认定处理以三层（含三层）为限，三层以上部分一律不认定可补偿面积。按期签订协议并搬迁的，2008年版国土航拍图有体现的给予材料费补贴。</w:t>
      </w:r>
    </w:p>
    <w:p>
      <w:pPr>
        <w:spacing w:line="580" w:lineRule="exact"/>
        <w:ind w:firstLine="484" w:firstLineChars="150"/>
        <w:rPr>
          <w:rStyle w:val="10"/>
          <w:rFonts w:ascii="仿宋_GB2312" w:hAnsi="仿宋_GB2312" w:eastAsia="仿宋_GB2312" w:cs="仿宋_GB2312"/>
          <w:b/>
          <w:bCs/>
          <w:sz w:val="32"/>
          <w:szCs w:val="32"/>
        </w:rPr>
      </w:pPr>
      <w:r>
        <w:rPr>
          <w:rStyle w:val="10"/>
          <w:rFonts w:hint="eastAsia" w:ascii="仿宋_GB2312" w:hAnsi="仿宋_GB2312" w:eastAsia="仿宋_GB2312" w:cs="仿宋_GB2312"/>
          <w:kern w:val="0"/>
          <w:sz w:val="32"/>
          <w:szCs w:val="32"/>
        </w:rPr>
        <w:t xml:space="preserve"> 4.2008年版国土航拍图没有体现的违建住宅房屋一律不予补偿，其建筑用地按土地征收标准予以补偿。</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楷体" w:hAnsi="楷体" w:eastAsia="楷体" w:cs="楷体"/>
          <w:sz w:val="32"/>
          <w:szCs w:val="32"/>
        </w:rPr>
        <w:t>九、未经登记经营性用房的认定和处理办法</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未经规划、国土、住建部门等行政机关批准，将住宅房屋改为商业或服务业的房屋，具备店面门面结构且至征收期间仍在经营，并具备下列三个条件的，可认定为未经登记经营性用房。经营性用房面积认定以原建筑结构临街或临主要道路第一层第一自然间计算。</w:t>
      </w:r>
    </w:p>
    <w:p>
      <w:pPr>
        <w:spacing w:line="580" w:lineRule="exact"/>
        <w:ind w:left="426" w:leftChars="200" w:firstLine="323" w:firstLineChars="1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（一）持有合法有效用地审批手续或基建审批手续；</w:t>
      </w:r>
    </w:p>
    <w:p>
      <w:pPr>
        <w:spacing w:line="580" w:lineRule="exact"/>
        <w:ind w:left="426" w:leftChars="200" w:firstLine="323" w:firstLineChars="1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（二）持有工商营业执照或税务登记证等有效证件的；</w:t>
      </w:r>
    </w:p>
    <w:p>
      <w:pPr>
        <w:spacing w:line="580" w:lineRule="exact"/>
        <w:ind w:left="426" w:leftChars="200" w:firstLine="323" w:firstLineChars="1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（三）至征收决定公告发布之日已连续经营满三年。</w:t>
      </w:r>
    </w:p>
    <w:p>
      <w:pPr>
        <w:spacing w:line="580" w:lineRule="exact"/>
        <w:ind w:firstLine="646" w:firstLineChars="200"/>
        <w:rPr>
          <w:rStyle w:val="10"/>
          <w:rFonts w:ascii="楷体" w:hAnsi="楷体" w:eastAsia="楷体" w:cs="楷体"/>
          <w:b/>
          <w:bCs/>
          <w:sz w:val="32"/>
          <w:szCs w:val="32"/>
        </w:rPr>
      </w:pPr>
      <w:r>
        <w:rPr>
          <w:rStyle w:val="10"/>
          <w:rFonts w:hint="eastAsia" w:ascii="楷体" w:hAnsi="楷体" w:eastAsia="楷体" w:cs="楷体"/>
          <w:b/>
          <w:bCs/>
          <w:sz w:val="32"/>
          <w:szCs w:val="32"/>
        </w:rPr>
        <w:t>十、厂房、仓库及其他配套用房的认定和处理办法</w:t>
      </w:r>
    </w:p>
    <w:p>
      <w:pPr>
        <w:spacing w:line="580" w:lineRule="exact"/>
        <w:ind w:firstLine="646" w:firstLineChars="200"/>
        <w:rPr>
          <w:rStyle w:val="10"/>
          <w:rFonts w:ascii="仿宋_GB2312" w:hAnsi="仿宋_GB2312" w:eastAsia="仿宋_GB2312" w:cs="仿宋_GB2312"/>
          <w:kern w:val="0"/>
          <w:sz w:val="32"/>
          <w:szCs w:val="32"/>
        </w:rPr>
      </w:pPr>
      <w:r>
        <w:rPr>
          <w:rStyle w:val="10"/>
          <w:rFonts w:hint="eastAsia" w:ascii="仿宋_GB2312" w:hAnsi="仿宋_GB2312" w:eastAsia="仿宋_GB2312" w:cs="仿宋_GB2312"/>
          <w:sz w:val="32"/>
          <w:szCs w:val="32"/>
        </w:rPr>
        <w:t>对有合法用地基建审批手续的企业用房，按其产权登记手续所载面积计算补偿（详见附件3）；对持有合法用地审批手续而未登记企业用房2004年10月1日前基建的，按实际面积认定计算为可补偿面积；2004年10月1日后基建，</w:t>
      </w:r>
      <w:r>
        <w:rPr>
          <w:rStyle w:val="10"/>
          <w:rFonts w:hint="eastAsia" w:ascii="仿宋_GB2312" w:hAnsi="仿宋_GB2312" w:eastAsia="仿宋_GB2312" w:cs="仿宋_GB2312"/>
          <w:kern w:val="0"/>
          <w:sz w:val="32"/>
          <w:szCs w:val="32"/>
        </w:rPr>
        <w:t>2008年版国土航拍图有体现的企业用房，给予一定的材料费补贴；2008年版国土</w:t>
      </w:r>
      <w:r>
        <w:rPr>
          <w:rStyle w:val="10"/>
          <w:rFonts w:hint="eastAsia" w:ascii="仿宋_GB2312" w:hAnsi="仿宋_GB2312" w:eastAsia="仿宋_GB2312" w:cs="仿宋_GB2312"/>
          <w:sz w:val="32"/>
          <w:szCs w:val="32"/>
        </w:rPr>
        <w:t>航拍图没有体现的违建</w:t>
      </w:r>
      <w:r>
        <w:rPr>
          <w:rStyle w:val="10"/>
          <w:rFonts w:hint="eastAsia" w:ascii="仿宋_GB2312" w:hAnsi="仿宋_GB2312" w:eastAsia="仿宋_GB2312" w:cs="仿宋_GB2312"/>
          <w:kern w:val="0"/>
          <w:sz w:val="32"/>
          <w:szCs w:val="32"/>
        </w:rPr>
        <w:t>企业用房一律不予补偿。</w:t>
      </w:r>
    </w:p>
    <w:p>
      <w:pPr>
        <w:spacing w:line="580" w:lineRule="exact"/>
        <w:ind w:firstLine="646" w:firstLineChars="200"/>
        <w:rPr>
          <w:rStyle w:val="10"/>
          <w:rFonts w:ascii="仿宋_GB2312" w:hAnsi="仿宋_GB2312" w:eastAsia="仿宋_GB2312" w:cs="仿宋_GB2312"/>
          <w:sz w:val="32"/>
          <w:szCs w:val="32"/>
        </w:rPr>
      </w:pPr>
    </w:p>
    <w:p>
      <w:pPr>
        <w:spacing w:line="580" w:lineRule="exact"/>
        <w:jc w:val="center"/>
        <w:rPr>
          <w:rStyle w:val="10"/>
          <w:rFonts w:ascii="仿宋_GB2312" w:hAnsi="仿宋_GB2312" w:eastAsia="仿宋_GB2312" w:cs="仿宋_GB2312"/>
          <w:b/>
          <w:sz w:val="32"/>
          <w:szCs w:val="32"/>
        </w:rPr>
      </w:pPr>
      <w:r>
        <w:rPr>
          <w:rStyle w:val="10"/>
          <w:rFonts w:hint="eastAsia" w:ascii="黑体" w:hAnsi="黑体" w:eastAsia="黑体" w:cs="黑体"/>
          <w:bCs/>
          <w:sz w:val="32"/>
          <w:szCs w:val="32"/>
        </w:rPr>
        <w:t>第三部分 住宅补偿安置办法</w:t>
      </w:r>
    </w:p>
    <w:p>
      <w:pPr>
        <w:spacing w:line="580" w:lineRule="exact"/>
        <w:ind w:firstLine="646" w:firstLineChars="200"/>
        <w:rPr>
          <w:rStyle w:val="10"/>
          <w:rFonts w:ascii="楷体" w:hAnsi="楷体" w:eastAsia="楷体" w:cs="楷体"/>
          <w:b/>
          <w:bCs/>
          <w:sz w:val="32"/>
          <w:szCs w:val="32"/>
        </w:rPr>
      </w:pPr>
      <w:r>
        <w:rPr>
          <w:rStyle w:val="10"/>
          <w:rFonts w:hint="eastAsia" w:ascii="楷体" w:hAnsi="楷体" w:eastAsia="楷体" w:cs="楷体"/>
          <w:b/>
          <w:bCs/>
          <w:sz w:val="32"/>
          <w:szCs w:val="32"/>
        </w:rPr>
        <w:t>十一、货币补偿办法</w:t>
      </w:r>
    </w:p>
    <w:p>
      <w:pPr>
        <w:spacing w:line="580" w:lineRule="exact"/>
        <w:ind w:firstLine="646" w:firstLineChars="200"/>
        <w:rPr>
          <w:rStyle w:val="10"/>
          <w:rFonts w:ascii="仿宋_GB2312" w:hAnsi="仿宋_GB2312" w:eastAsia="仿宋_GB2312" w:cs="仿宋_GB2312"/>
          <w:b/>
          <w:bCs/>
          <w:sz w:val="32"/>
          <w:szCs w:val="32"/>
        </w:rPr>
      </w:pPr>
      <w:r>
        <w:rPr>
          <w:rStyle w:val="10"/>
          <w:rFonts w:hint="eastAsia" w:ascii="仿宋_GB2312" w:hAnsi="仿宋_GB2312" w:eastAsia="仿宋_GB2312" w:cs="仿宋_GB2312"/>
          <w:b/>
          <w:bCs/>
          <w:sz w:val="32"/>
          <w:szCs w:val="32"/>
        </w:rPr>
        <w:t>（一）基本原则</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被征收房屋货币补偿总额包括被征收房屋价值补偿（含土地补偿、房屋重置成新价补偿和装修 补偿）、被征收人搬迁补助、临时安置补助及相关奖励款项等。被征收人可以选择按本方案所列相应类别房屋的基准价格进行货币补偿，也可以要求进行分户评估，按分户评估结果结合产权调查认定规定进行货币补偿。</w:t>
      </w:r>
    </w:p>
    <w:p>
      <w:pPr>
        <w:spacing w:line="580" w:lineRule="exact"/>
        <w:ind w:firstLine="646" w:firstLineChars="200"/>
        <w:rPr>
          <w:rStyle w:val="10"/>
          <w:rFonts w:ascii="仿宋_GB2312" w:hAnsi="仿宋_GB2312" w:eastAsia="仿宋_GB2312" w:cs="仿宋_GB2312"/>
          <w:b/>
          <w:bCs/>
          <w:sz w:val="32"/>
          <w:szCs w:val="32"/>
        </w:rPr>
      </w:pPr>
      <w:r>
        <w:rPr>
          <w:rStyle w:val="10"/>
          <w:rFonts w:hint="eastAsia" w:ascii="仿宋_GB2312" w:hAnsi="仿宋_GB2312" w:eastAsia="仿宋_GB2312" w:cs="仿宋_GB2312"/>
          <w:b/>
          <w:bCs/>
          <w:sz w:val="32"/>
          <w:szCs w:val="32"/>
        </w:rPr>
        <w:t>（二）货币补偿标准</w:t>
      </w:r>
    </w:p>
    <w:p>
      <w:pPr>
        <w:spacing w:line="580" w:lineRule="exact"/>
        <w:ind w:firstLine="646" w:firstLineChars="200"/>
        <w:rPr>
          <w:rStyle w:val="10"/>
          <w:rFonts w:ascii="仿宋_GB2312" w:hAnsi="仿宋_GB2312" w:eastAsia="仿宋_GB2312" w:cs="仿宋_GB2312"/>
          <w:b/>
          <w:sz w:val="32"/>
          <w:szCs w:val="32"/>
        </w:rPr>
      </w:pPr>
      <w:r>
        <w:rPr>
          <w:rStyle w:val="10"/>
          <w:rFonts w:hint="eastAsia" w:ascii="仿宋_GB2312" w:hAnsi="仿宋_GB2312" w:eastAsia="仿宋_GB2312" w:cs="仿宋_GB2312"/>
          <w:sz w:val="32"/>
          <w:szCs w:val="32"/>
        </w:rPr>
        <w:t>采取基准价格补偿的，被征收房屋价值补偿单价（含土地）分类补偿标准如下：</w:t>
      </w:r>
    </w:p>
    <w:p>
      <w:pPr>
        <w:spacing w:line="580" w:lineRule="exact"/>
        <w:ind w:firstLine="632" w:firstLineChars="196"/>
        <w:rPr>
          <w:rStyle w:val="10"/>
          <w:rFonts w:ascii="仿宋_GB2312" w:hAnsi="仿宋_GB2312" w:eastAsia="仿宋_GB2312" w:cs="仿宋_GB2312"/>
          <w:sz w:val="32"/>
          <w:szCs w:val="32"/>
        </w:rPr>
      </w:pPr>
      <w:r>
        <w:rPr>
          <w:rStyle w:val="10"/>
          <w:rFonts w:hint="eastAsia" w:ascii="仿宋_GB2312" w:hAnsi="仿宋_GB2312" w:eastAsia="仿宋_GB2312" w:cs="仿宋_GB2312"/>
          <w:b/>
          <w:sz w:val="32"/>
          <w:szCs w:val="32"/>
        </w:rPr>
        <w:t>1.住宅的补偿标准：</w:t>
      </w:r>
      <w:r>
        <w:rPr>
          <w:rStyle w:val="10"/>
          <w:rFonts w:hint="eastAsia" w:ascii="仿宋_GB2312" w:hAnsi="仿宋_GB2312" w:eastAsia="仿宋_GB2312" w:cs="仿宋_GB2312"/>
          <w:sz w:val="32"/>
          <w:szCs w:val="32"/>
        </w:rPr>
        <w:t>本方案第八条所列各类住宅房屋按相应补偿单价计算（详见附件1）。被征收房屋装修补偿单价单独计算（详见附件5）。</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b/>
          <w:sz w:val="32"/>
          <w:szCs w:val="32"/>
        </w:rPr>
        <w:t>2.未经登记经营性用房的补偿标准:</w:t>
      </w:r>
    </w:p>
    <w:p>
      <w:pPr>
        <w:spacing w:line="580" w:lineRule="exact"/>
        <w:ind w:firstLine="646" w:firstLineChars="200"/>
        <w:rPr>
          <w:rStyle w:val="10"/>
          <w:rFonts w:ascii="仿宋_GB2312" w:hAnsi="仿宋_GB2312" w:eastAsia="仿宋_GB2312" w:cs="仿宋_GB2312"/>
          <w:kern w:val="0"/>
          <w:sz w:val="32"/>
          <w:szCs w:val="32"/>
        </w:rPr>
      </w:pPr>
      <w:r>
        <w:rPr>
          <w:rStyle w:val="10"/>
          <w:rFonts w:hint="eastAsia" w:ascii="仿宋_GB2312" w:hAnsi="仿宋_GB2312" w:eastAsia="仿宋_GB2312" w:cs="仿宋_GB2312"/>
          <w:sz w:val="32"/>
          <w:szCs w:val="32"/>
        </w:rPr>
        <w:t>位于主、次干道，</w:t>
      </w:r>
      <w:r>
        <w:rPr>
          <w:rStyle w:val="10"/>
          <w:rFonts w:hint="eastAsia" w:ascii="仿宋_GB2312" w:hAnsi="仿宋_GB2312" w:eastAsia="仿宋_GB2312" w:cs="仿宋_GB2312"/>
          <w:kern w:val="0"/>
          <w:sz w:val="32"/>
          <w:szCs w:val="32"/>
        </w:rPr>
        <w:t>利用房屋改为经营性用房的，按认定面积给予</w:t>
      </w:r>
      <w:r>
        <w:rPr>
          <w:rStyle w:val="10"/>
          <w:rFonts w:hint="eastAsia" w:ascii="仿宋_GB2312" w:hAnsi="仿宋_GB2312" w:eastAsia="仿宋_GB2312" w:cs="仿宋_GB2312"/>
          <w:sz w:val="32"/>
          <w:szCs w:val="32"/>
        </w:rPr>
        <w:t>一次性终止经营</w:t>
      </w:r>
      <w:r>
        <w:rPr>
          <w:rStyle w:val="10"/>
          <w:rFonts w:hint="eastAsia" w:ascii="仿宋_GB2312" w:hAnsi="仿宋_GB2312" w:eastAsia="仿宋_GB2312" w:cs="仿宋_GB2312"/>
          <w:kern w:val="0"/>
          <w:sz w:val="32"/>
          <w:szCs w:val="32"/>
        </w:rPr>
        <w:t>补贴。</w:t>
      </w:r>
    </w:p>
    <w:p>
      <w:pPr>
        <w:spacing w:line="580" w:lineRule="exact"/>
        <w:ind w:firstLine="807" w:firstLineChars="250"/>
        <w:rPr>
          <w:rStyle w:val="10"/>
          <w:rFonts w:ascii="仿宋_GB2312" w:hAnsi="仿宋_GB2312" w:eastAsia="仿宋_GB2312" w:cs="仿宋_GB2312"/>
          <w:b/>
          <w:sz w:val="32"/>
          <w:szCs w:val="32"/>
        </w:rPr>
      </w:pPr>
      <w:r>
        <w:rPr>
          <w:rStyle w:val="10"/>
          <w:rFonts w:hint="eastAsia" w:ascii="仿宋_GB2312" w:hAnsi="仿宋_GB2312" w:eastAsia="仿宋_GB2312" w:cs="仿宋_GB2312"/>
          <w:b/>
          <w:sz w:val="32"/>
          <w:szCs w:val="32"/>
        </w:rPr>
        <w:t>3.企业用地的补偿标准：</w:t>
      </w:r>
    </w:p>
    <w:p>
      <w:pPr>
        <w:spacing w:line="580" w:lineRule="exact"/>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 xml:space="preserve">    （1）经批准并办理的国有出让土地使用权证的企业用地，按实际征收用地面积给予43.67万元/亩补偿，并注销被征收面积；</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2）经批准并办理国有划拨土地使用权证的企业用地，按实际征收用地面积给予31万元/亩补偿，并注销被征收面积；持有集体土地使用权证的企业用地或取得原鲤城区政府批准的用地批复，按22万元/亩给予补偿；</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3）被征收未办理审批手续的企业用地，只持有向社区征用土地手续的，并付清全部征地款，在2004年10月1日前办理完结征地手续的，按该地段集体划拨用地基准地价的80%给予补偿；在2004年10月1日之后办理完结征地手续的，其土地补偿费按耕地征用标准补偿，并给予2万元/亩土地平整费补贴。此笔款项中的土地补偿可由社区委托企业单位代领，企业单位应提供社区开具的委托书。</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（4）在规定征收期间内签订协议并搬迁腾空的企业，持有合法用地国有（或集体）出让、划拨土地每亩按相应补偿标准10%给予货币补偿方式奖励。</w:t>
      </w:r>
    </w:p>
    <w:p>
      <w:pPr>
        <w:spacing w:line="580" w:lineRule="exact"/>
        <w:ind w:firstLine="632" w:firstLineChars="196"/>
        <w:rPr>
          <w:rStyle w:val="10"/>
          <w:rFonts w:ascii="仿宋_GB2312" w:hAnsi="仿宋_GB2312" w:eastAsia="仿宋_GB2312" w:cs="仿宋_GB2312"/>
          <w:b/>
          <w:sz w:val="32"/>
          <w:szCs w:val="32"/>
        </w:rPr>
      </w:pPr>
      <w:r>
        <w:rPr>
          <w:rStyle w:val="10"/>
          <w:rFonts w:hint="eastAsia" w:ascii="仿宋_GB2312" w:hAnsi="仿宋_GB2312" w:eastAsia="仿宋_GB2312" w:cs="仿宋_GB2312"/>
          <w:b/>
          <w:sz w:val="32"/>
          <w:szCs w:val="32"/>
        </w:rPr>
        <w:t>4.厂房、仓库及其他配套用房的补偿标准</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按认定可补偿面积，并依据对应结构及类别给予货币补偿（详见附件3）。</w:t>
      </w:r>
    </w:p>
    <w:p>
      <w:pPr>
        <w:spacing w:line="580" w:lineRule="exact"/>
        <w:ind w:firstLine="632" w:firstLineChars="196"/>
        <w:rPr>
          <w:rStyle w:val="10"/>
          <w:rFonts w:ascii="仿宋_GB2312" w:hAnsi="仿宋_GB2312" w:eastAsia="仿宋_GB2312" w:cs="仿宋_GB2312"/>
          <w:b/>
          <w:sz w:val="32"/>
          <w:szCs w:val="32"/>
        </w:rPr>
      </w:pPr>
      <w:r>
        <w:rPr>
          <w:rStyle w:val="10"/>
          <w:rFonts w:hint="eastAsia" w:ascii="仿宋_GB2312" w:hAnsi="仿宋_GB2312" w:eastAsia="仿宋_GB2312" w:cs="仿宋_GB2312"/>
          <w:b/>
          <w:sz w:val="32"/>
          <w:szCs w:val="32"/>
        </w:rPr>
        <w:t>（三）货币补偿优惠奖励办法</w:t>
      </w:r>
    </w:p>
    <w:p>
      <w:pPr>
        <w:spacing w:line="580" w:lineRule="exact"/>
        <w:ind w:left="-2" w:leftChars="-1" w:firstLine="646" w:firstLineChars="200"/>
        <w:rPr>
          <w:rStyle w:val="10"/>
          <w:rFonts w:ascii="仿宋_GB2312" w:hAnsi="仿宋_GB2312" w:eastAsia="仿宋_GB2312" w:cs="仿宋_GB2312"/>
          <w:color w:val="000000" w:themeColor="text1"/>
          <w:sz w:val="32"/>
          <w:szCs w:val="32"/>
          <w14:textFill>
            <w14:solidFill>
              <w14:schemeClr w14:val="tx1"/>
            </w14:solidFill>
          </w14:textFill>
        </w:rPr>
      </w:pPr>
      <w:r>
        <w:rPr>
          <w:rStyle w:val="10"/>
          <w:rFonts w:hint="eastAsia" w:ascii="仿宋_GB2312" w:hAnsi="仿宋_GB2312" w:eastAsia="仿宋_GB2312" w:cs="仿宋_GB2312"/>
          <w:sz w:val="32"/>
          <w:szCs w:val="32"/>
        </w:rPr>
        <w:t>货币补偿优惠奖励办法依照市政府《在中心市区国有土地上实施房屋征收补偿的指导意见》(泉政办〔2015〕112号)办理。其中:</w:t>
      </w:r>
      <w:r>
        <w:rPr>
          <w:rStyle w:val="10"/>
          <w:rFonts w:hint="eastAsia" w:ascii="仿宋_GB2312" w:hAnsi="仿宋_GB2312" w:eastAsia="仿宋_GB2312" w:cs="仿宋_GB2312"/>
          <w:color w:val="000000" w:themeColor="text1"/>
          <w:kern w:val="0"/>
          <w:sz w:val="32"/>
          <w:szCs w:val="32"/>
          <w14:textFill>
            <w14:solidFill>
              <w14:schemeClr w14:val="tx1"/>
            </w14:solidFill>
          </w14:textFill>
        </w:rPr>
        <w:t>对在签约期限内全部选择货币补偿方式、签订协议并搬迁的被征收人，给予每平方米被征收住宅房屋评估价值单价和装修补偿单价20%的货币补偿方式奖励；对征收非住宅房屋的给予每平方米评估价值单价10%的货币补偿方式奖励。</w:t>
      </w:r>
    </w:p>
    <w:p>
      <w:pPr>
        <w:spacing w:line="580" w:lineRule="exact"/>
        <w:ind w:firstLine="632" w:firstLineChars="196"/>
        <w:rPr>
          <w:rStyle w:val="10"/>
          <w:rFonts w:ascii="仿宋_GB2312" w:hAnsi="仿宋_GB2312" w:eastAsia="仿宋_GB2312" w:cs="仿宋_GB2312"/>
          <w:b/>
          <w:sz w:val="32"/>
          <w:szCs w:val="32"/>
        </w:rPr>
      </w:pPr>
      <w:r>
        <w:rPr>
          <w:rStyle w:val="10"/>
          <w:rFonts w:hint="eastAsia" w:ascii="仿宋_GB2312" w:hAnsi="仿宋_GB2312" w:eastAsia="仿宋_GB2312" w:cs="仿宋_GB2312"/>
          <w:b/>
          <w:sz w:val="32"/>
          <w:szCs w:val="32"/>
        </w:rPr>
        <w:t>（四）全部货币补偿结算办法</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1.被征收人全部选择货币补偿并且购买就近地段新建安商房，评估基准价为10072元/㎡，在签约期限内签订协议并按时搬迁腾空的被征收人，按优惠后的结算价格7554元/㎡进行结算。</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2.每个产权户（即每个选房号）手续完整的，可按房屋所有权证（不动产权证）上所确定的合法产权面积购买安商房住宅面积；手续不完整或没有手续的，按经认定的可补偿面积确定可购买的安商房住宅面积，但最高不超过450㎡（含450㎡），其余被征收房屋认定可补偿面积一律实行货币补偿。</w:t>
      </w:r>
    </w:p>
    <w:p>
      <w:pPr>
        <w:spacing w:line="580" w:lineRule="exact"/>
        <w:ind w:firstLine="646" w:firstLineChars="200"/>
        <w:rPr>
          <w:rStyle w:val="10"/>
          <w:rFonts w:ascii="仿宋_GB2312" w:hAnsi="仿宋_GB2312" w:eastAsia="仿宋_GB2312" w:cs="仿宋_GB2312"/>
          <w:color w:val="000000" w:themeColor="text1"/>
          <w:sz w:val="32"/>
          <w:szCs w:val="32"/>
          <w14:textFill>
            <w14:solidFill>
              <w14:schemeClr w14:val="tx1"/>
            </w14:solidFill>
          </w14:textFill>
        </w:rPr>
      </w:pPr>
      <w:r>
        <w:rPr>
          <w:rStyle w:val="10"/>
          <w:rFonts w:hint="eastAsia" w:ascii="仿宋_GB2312" w:hAnsi="仿宋_GB2312" w:eastAsia="仿宋_GB2312" w:cs="仿宋_GB2312"/>
          <w:sz w:val="32"/>
          <w:szCs w:val="32"/>
        </w:rPr>
        <w:t>因可购买安商房住宅户型、结构等原因，超过所购建筑面积部分在20㎡以内（含20㎡），按7554元/㎡计算；超过20㎡（不含20㎡）以上的部分，</w:t>
      </w:r>
      <w:r>
        <w:rPr>
          <w:rStyle w:val="10"/>
          <w:rFonts w:hint="eastAsia" w:ascii="仿宋_GB2312" w:hAnsi="仿宋_GB2312" w:eastAsia="仿宋_GB2312" w:cs="仿宋_GB2312"/>
          <w:color w:val="000000" w:themeColor="text1"/>
          <w:sz w:val="32"/>
          <w:szCs w:val="32"/>
          <w14:textFill>
            <w14:solidFill>
              <w14:schemeClr w14:val="tx1"/>
            </w14:solidFill>
          </w14:textFill>
        </w:rPr>
        <w:t>一律按就近地段新建安商房评估基准价结算。</w:t>
      </w:r>
    </w:p>
    <w:p>
      <w:pPr>
        <w:spacing w:line="580" w:lineRule="exact"/>
        <w:ind w:firstLine="646" w:firstLineChars="200"/>
        <w:rPr>
          <w:rStyle w:val="10"/>
          <w:rFonts w:ascii="仿宋_GB2312" w:hAnsi="仿宋_GB2312" w:eastAsia="仿宋_GB2312" w:cs="仿宋_GB2312"/>
          <w:color w:val="FF0000"/>
          <w:sz w:val="32"/>
          <w:szCs w:val="32"/>
        </w:rPr>
      </w:pPr>
      <w:r>
        <w:rPr>
          <w:rStyle w:val="10"/>
          <w:rFonts w:hint="eastAsia" w:ascii="仿宋_GB2312" w:hAnsi="仿宋_GB2312" w:eastAsia="仿宋_GB2312" w:cs="仿宋_GB2312"/>
          <w:sz w:val="32"/>
          <w:szCs w:val="32"/>
        </w:rPr>
        <w:t>3.被征收人选择购买征收范围内新建安商房的，货币补偿款在足额留存所购房源面积的购买款项后，剩余部分自签约并按时腾空搬迁后，一次性发放。计算公式如下：被征收房屋货币补偿款-可购买的安商房住宅面积×优惠结算价。</w:t>
      </w:r>
    </w:p>
    <w:p>
      <w:pPr>
        <w:spacing w:line="580" w:lineRule="exact"/>
        <w:ind w:firstLine="646" w:firstLineChars="200"/>
        <w:rPr>
          <w:rStyle w:val="10"/>
          <w:rFonts w:hint="eastAsia" w:ascii="仿宋_GB2312" w:hAnsi="仿宋_GB2312" w:eastAsia="仿宋_GB2312" w:cs="仿宋_GB2312"/>
          <w:sz w:val="32"/>
          <w:szCs w:val="32"/>
        </w:rPr>
      </w:pPr>
      <w:r>
        <w:rPr>
          <w:rStyle w:val="10"/>
          <w:rFonts w:hint="eastAsia" w:ascii="仿宋_GB2312" w:hAnsi="仿宋_GB2312" w:eastAsia="仿宋_GB2312" w:cs="仿宋_GB2312"/>
          <w:sz w:val="32"/>
          <w:szCs w:val="32"/>
        </w:rPr>
        <w:t>房屋征收部门按与被征收人合同约定的面积和新建安商房销售单位结算购房款，剩余的货币补偿款由房屋征收部门支付给被征收人，合同约定面积结算不足的购房款由被征收人按照合同直接支付给新建安商房销售单位。</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4.选择货币补偿，且不购买新建安商房的被征收人，其货币补偿款自签约并按规定的时间腾空搬迁后，一次性发放。被征收人符合《在中心市区国有土地上实施房屋征收补偿的指导意见》规定的申领购房补助条件的，自申请领取手续完整后，一次性发放。</w:t>
      </w:r>
    </w:p>
    <w:p>
      <w:pPr>
        <w:spacing w:line="580" w:lineRule="exact"/>
        <w:ind w:firstLine="646" w:firstLineChars="200"/>
        <w:rPr>
          <w:rStyle w:val="10"/>
          <w:rFonts w:ascii="仿宋_GB2312" w:hAnsi="仿宋_GB2312" w:eastAsia="仿宋_GB2312" w:cs="仿宋_GB2312"/>
          <w:b/>
          <w:bCs/>
          <w:sz w:val="32"/>
          <w:szCs w:val="32"/>
        </w:rPr>
      </w:pPr>
      <w:r>
        <w:rPr>
          <w:rStyle w:val="10"/>
          <w:rFonts w:hint="eastAsia" w:ascii="仿宋_GB2312" w:hAnsi="仿宋_GB2312" w:eastAsia="仿宋_GB2312" w:cs="仿宋_GB2312"/>
          <w:b/>
          <w:bCs/>
          <w:sz w:val="32"/>
          <w:szCs w:val="32"/>
        </w:rPr>
        <w:t>（五）低保群体住房保障</w:t>
      </w:r>
    </w:p>
    <w:p>
      <w:pPr>
        <w:spacing w:line="580" w:lineRule="exact"/>
        <w:ind w:firstLine="646" w:firstLineChars="200"/>
        <w:rPr>
          <w:rStyle w:val="10"/>
          <w:rFonts w:ascii="仿宋_GB2312" w:hAnsi="仿宋_GB2312" w:eastAsia="仿宋_GB2312" w:cs="仿宋_GB2312"/>
          <w:b/>
          <w:sz w:val="32"/>
          <w:szCs w:val="32"/>
        </w:rPr>
      </w:pPr>
      <w:r>
        <w:rPr>
          <w:rStyle w:val="10"/>
          <w:rFonts w:hint="eastAsia" w:ascii="仿宋_GB2312" w:hAnsi="仿宋_GB2312" w:eastAsia="仿宋_GB2312" w:cs="仿宋_GB2312"/>
          <w:sz w:val="32"/>
          <w:szCs w:val="32"/>
        </w:rPr>
        <w:t>属民政部门认定的低保对象且在中心市区无其他住房的被征收人选择货币化安置补偿方式，若其被征收房屋人均建筑面积不足20平方米，则被征收房屋价值补偿款按人均建筑面积20平方米补足。本方案所称的“人均”的计算公式为：人均建筑面积=认定的可以补偿建筑面积÷征收决定作出前被征收房屋户口簿记载的人口数（被征收房屋户口簿记载的人口需为被征收房屋所有权人的直系亲属且为常住人口）。</w:t>
      </w:r>
    </w:p>
    <w:p>
      <w:pPr>
        <w:spacing w:line="580" w:lineRule="exact"/>
        <w:ind w:firstLine="646" w:firstLineChars="200"/>
        <w:rPr>
          <w:rStyle w:val="10"/>
          <w:rFonts w:ascii="楷体" w:hAnsi="楷体" w:eastAsia="楷体" w:cs="楷体"/>
          <w:b/>
          <w:sz w:val="32"/>
          <w:szCs w:val="32"/>
        </w:rPr>
      </w:pPr>
      <w:r>
        <w:rPr>
          <w:rStyle w:val="10"/>
          <w:rFonts w:hint="eastAsia" w:ascii="楷体" w:hAnsi="楷体" w:eastAsia="楷体" w:cs="楷体"/>
          <w:bCs/>
          <w:sz w:val="32"/>
          <w:szCs w:val="32"/>
        </w:rPr>
        <w:t>十二、住宅产权调换结算及保障办法</w:t>
      </w:r>
    </w:p>
    <w:p>
      <w:pPr>
        <w:spacing w:line="580" w:lineRule="exact"/>
        <w:ind w:firstLine="646" w:firstLineChars="200"/>
        <w:rPr>
          <w:rStyle w:val="10"/>
          <w:rFonts w:ascii="仿宋_GB2312" w:hAnsi="仿宋_GB2312" w:eastAsia="仿宋_GB2312" w:cs="仿宋_GB2312"/>
          <w:b/>
          <w:bCs/>
          <w:sz w:val="32"/>
          <w:szCs w:val="32"/>
        </w:rPr>
      </w:pPr>
      <w:r>
        <w:rPr>
          <w:rStyle w:val="10"/>
          <w:rFonts w:hint="eastAsia" w:ascii="仿宋_GB2312" w:hAnsi="仿宋_GB2312" w:eastAsia="仿宋_GB2312" w:cs="仿宋_GB2312"/>
          <w:b/>
          <w:bCs/>
          <w:sz w:val="32"/>
          <w:szCs w:val="32"/>
        </w:rPr>
        <w:t>（一）基本原则</w:t>
      </w:r>
    </w:p>
    <w:p>
      <w:pPr>
        <w:spacing w:line="580" w:lineRule="exact"/>
        <w:ind w:firstLine="646" w:firstLineChars="200"/>
        <w:rPr>
          <w:rStyle w:val="10"/>
          <w:rFonts w:ascii="仿宋_GB2312" w:hAnsi="仿宋_GB2312" w:eastAsia="仿宋_GB2312" w:cs="仿宋_GB2312"/>
          <w:kern w:val="0"/>
          <w:sz w:val="32"/>
          <w:szCs w:val="32"/>
        </w:rPr>
      </w:pPr>
      <w:r>
        <w:rPr>
          <w:rStyle w:val="10"/>
          <w:rFonts w:hint="eastAsia" w:ascii="仿宋_GB2312" w:hAnsi="仿宋_GB2312" w:eastAsia="仿宋_GB2312" w:cs="仿宋_GB2312"/>
          <w:kern w:val="0"/>
          <w:sz w:val="32"/>
          <w:szCs w:val="32"/>
        </w:rPr>
        <w:t>依法实行房屋等价置换，即以被征收房屋评估基准价值和用于产权调换的安置房源的评估基准价值，实施两者的价值置换，并按照“多还少补”的原则结算差价。</w:t>
      </w:r>
    </w:p>
    <w:p>
      <w:pPr>
        <w:spacing w:line="580" w:lineRule="exact"/>
        <w:rPr>
          <w:rStyle w:val="10"/>
          <w:rFonts w:ascii="仿宋_GB2312" w:hAnsi="仿宋_GB2312" w:eastAsia="仿宋_GB2312" w:cs="仿宋_GB2312"/>
          <w:kern w:val="0"/>
          <w:sz w:val="32"/>
          <w:szCs w:val="32"/>
        </w:rPr>
      </w:pPr>
      <w:r>
        <w:rPr>
          <w:rStyle w:val="10"/>
          <w:rFonts w:hint="eastAsia" w:ascii="仿宋_GB2312" w:hAnsi="仿宋_GB2312" w:eastAsia="仿宋_GB2312" w:cs="仿宋_GB2312"/>
          <w:kern w:val="0"/>
          <w:sz w:val="32"/>
          <w:szCs w:val="32"/>
        </w:rPr>
        <w:t xml:space="preserve">    1.持有登记完整房屋产权手续的，可以按其办证面积申请产权调换；</w:t>
      </w:r>
    </w:p>
    <w:p>
      <w:pPr>
        <w:spacing w:line="580" w:lineRule="exact"/>
        <w:rPr>
          <w:rStyle w:val="10"/>
          <w:rFonts w:ascii="仿宋_GB2312" w:hAnsi="仿宋_GB2312" w:eastAsia="仿宋_GB2312" w:cs="仿宋_GB2312"/>
          <w:kern w:val="0"/>
          <w:sz w:val="32"/>
          <w:szCs w:val="32"/>
        </w:rPr>
      </w:pPr>
      <w:r>
        <w:rPr>
          <w:rStyle w:val="10"/>
          <w:rFonts w:hint="eastAsia" w:ascii="仿宋_GB2312" w:hAnsi="仿宋_GB2312" w:eastAsia="仿宋_GB2312" w:cs="仿宋_GB2312"/>
          <w:kern w:val="0"/>
          <w:sz w:val="32"/>
          <w:szCs w:val="32"/>
        </w:rPr>
        <w:t xml:space="preserve">    2.未办理房屋所有权登记手续的，根据《土地管理法》《城乡规划法》等法律法规有关规定，严格按“一户一宅”控制产权调换面积,合理控制被征收人选择房屋产权调换的面积,原则上被征收房屋选择产权调换的部分以用地面积120㎡（使用山坡地或杂地建设的房屋，其认定可以产权调换的用地面积最高为150㎡），建筑层数三层以内（含三层）为限被征收人选择房屋产权调换的，超过部分实行货币补偿。</w:t>
      </w:r>
    </w:p>
    <w:p>
      <w:pPr>
        <w:spacing w:line="580" w:lineRule="exact"/>
        <w:ind w:firstLine="646" w:firstLineChars="200"/>
        <w:rPr>
          <w:rStyle w:val="10"/>
          <w:rFonts w:ascii="仿宋_GB2312" w:hAnsi="仿宋_GB2312" w:eastAsia="仿宋_GB2312" w:cs="仿宋_GB2312"/>
          <w:b/>
          <w:bCs/>
          <w:sz w:val="32"/>
          <w:szCs w:val="32"/>
        </w:rPr>
      </w:pPr>
      <w:r>
        <w:rPr>
          <w:rStyle w:val="10"/>
          <w:rFonts w:hint="eastAsia" w:ascii="仿宋_GB2312" w:hAnsi="仿宋_GB2312" w:eastAsia="仿宋_GB2312" w:cs="仿宋_GB2312"/>
          <w:b/>
          <w:bCs/>
          <w:sz w:val="32"/>
          <w:szCs w:val="32"/>
        </w:rPr>
        <w:t>（二）产权调换结算办法</w:t>
      </w:r>
    </w:p>
    <w:p>
      <w:pPr>
        <w:spacing w:line="580" w:lineRule="exact"/>
        <w:ind w:firstLine="646" w:firstLineChars="200"/>
        <w:rPr>
          <w:rStyle w:val="10"/>
          <w:rFonts w:ascii="仿宋_GB2312" w:hAnsi="仿宋_GB2312" w:eastAsia="仿宋_GB2312" w:cs="仿宋_GB2312"/>
          <w:kern w:val="0"/>
          <w:sz w:val="32"/>
          <w:szCs w:val="32"/>
        </w:rPr>
      </w:pPr>
      <w:r>
        <w:rPr>
          <w:rStyle w:val="10"/>
          <w:rFonts w:hint="eastAsia" w:ascii="仿宋_GB2312" w:hAnsi="仿宋_GB2312" w:eastAsia="仿宋_GB2312" w:cs="仿宋_GB2312"/>
          <w:kern w:val="0"/>
          <w:sz w:val="32"/>
          <w:szCs w:val="32"/>
        </w:rPr>
        <w:t>1.被征收人选择征收范围内新建安商房实行产权调换，执行限制产权调换的政策，不再设置优惠奖励措施，被征收人应按上述房源评估基准价进行结算，互补差价。</w:t>
      </w:r>
    </w:p>
    <w:p>
      <w:pPr>
        <w:spacing w:line="580" w:lineRule="exact"/>
        <w:ind w:firstLine="646" w:firstLineChars="200"/>
        <w:rPr>
          <w:rStyle w:val="10"/>
          <w:rFonts w:ascii="仿宋_GB2312" w:hAnsi="仿宋_GB2312" w:eastAsia="仿宋_GB2312" w:cs="仿宋_GB2312"/>
          <w:kern w:val="0"/>
          <w:sz w:val="32"/>
          <w:szCs w:val="32"/>
        </w:rPr>
      </w:pPr>
      <w:r>
        <w:rPr>
          <w:rStyle w:val="10"/>
          <w:rFonts w:hint="eastAsia" w:ascii="仿宋_GB2312" w:hAnsi="仿宋_GB2312" w:eastAsia="仿宋_GB2312" w:cs="仿宋_GB2312"/>
          <w:kern w:val="0"/>
          <w:sz w:val="32"/>
          <w:szCs w:val="32"/>
        </w:rPr>
        <w:t>2.选择产权调换签订协议并按时腾空房屋后，先发放搬迁费、一次性终止经营补贴、附属物补偿、第一期临时安置费和按时签约的奖励等补偿款。被征收人应缴的补差价（包括扩购价、等面积部分差价）待选房后一并结算，并在规定期限内付清。</w:t>
      </w:r>
    </w:p>
    <w:p>
      <w:pPr>
        <w:spacing w:line="580" w:lineRule="exact"/>
        <w:ind w:firstLine="646" w:firstLineChars="200"/>
        <w:rPr>
          <w:rStyle w:val="10"/>
          <w:rFonts w:ascii="仿宋_GB2312" w:hAnsi="仿宋_GB2312" w:eastAsia="仿宋_GB2312" w:cs="仿宋_GB2312"/>
          <w:b/>
          <w:bCs/>
          <w:sz w:val="32"/>
          <w:szCs w:val="32"/>
        </w:rPr>
      </w:pPr>
      <w:r>
        <w:rPr>
          <w:rStyle w:val="10"/>
          <w:rFonts w:hint="eastAsia" w:ascii="仿宋_GB2312" w:hAnsi="仿宋_GB2312" w:eastAsia="仿宋_GB2312" w:cs="仿宋_GB2312"/>
          <w:kern w:val="0"/>
          <w:sz w:val="32"/>
          <w:szCs w:val="32"/>
        </w:rPr>
        <w:t>3.每个产权户（即每个选房号）所选房源的面积应与其经认定的可补偿面积一致。但因房屋户型、结构等原因，超过其可产权调换的面积部分（原则上不超过20㎡）一律按</w:t>
      </w:r>
      <w:r>
        <w:rPr>
          <w:rStyle w:val="10"/>
          <w:rFonts w:hint="eastAsia" w:ascii="仿宋_GB2312" w:hAnsi="仿宋_GB2312" w:eastAsia="仿宋_GB2312" w:cs="仿宋_GB2312"/>
          <w:sz w:val="32"/>
          <w:szCs w:val="32"/>
        </w:rPr>
        <w:t>就近地段新建安商房评估基准价</w:t>
      </w:r>
      <w:r>
        <w:rPr>
          <w:rStyle w:val="10"/>
          <w:rFonts w:hint="eastAsia" w:ascii="仿宋_GB2312" w:hAnsi="仿宋_GB2312" w:eastAsia="仿宋_GB2312" w:cs="仿宋_GB2312"/>
          <w:kern w:val="0"/>
          <w:sz w:val="32"/>
          <w:szCs w:val="32"/>
        </w:rPr>
        <w:t>结算。</w:t>
      </w:r>
    </w:p>
    <w:p>
      <w:pPr>
        <w:spacing w:line="580" w:lineRule="exact"/>
        <w:ind w:firstLine="632" w:firstLineChars="196"/>
        <w:rPr>
          <w:rStyle w:val="10"/>
          <w:rFonts w:ascii="楷体" w:hAnsi="楷体" w:eastAsia="楷体" w:cs="楷体"/>
          <w:sz w:val="32"/>
          <w:szCs w:val="32"/>
        </w:rPr>
      </w:pPr>
      <w:r>
        <w:rPr>
          <w:rStyle w:val="10"/>
          <w:rFonts w:hint="eastAsia" w:ascii="楷体" w:hAnsi="楷体" w:eastAsia="楷体" w:cs="楷体"/>
          <w:sz w:val="32"/>
          <w:szCs w:val="32"/>
        </w:rPr>
        <w:t>十三、住房困难户保障办法</w:t>
      </w:r>
    </w:p>
    <w:p>
      <w:pPr>
        <w:spacing w:line="580" w:lineRule="exact"/>
        <w:ind w:firstLine="632" w:firstLineChars="196"/>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根据有关政策结合实际情况，对在搬迁期限内签订协议并按期搬迁的，依据相关规定予以办理。</w:t>
      </w:r>
    </w:p>
    <w:p>
      <w:pPr>
        <w:spacing w:line="580" w:lineRule="exact"/>
        <w:ind w:firstLine="646" w:firstLineChars="200"/>
        <w:rPr>
          <w:rStyle w:val="10"/>
          <w:rFonts w:ascii="仿宋_GB2312" w:hAnsi="仿宋_GB2312" w:eastAsia="仿宋_GB2312" w:cs="仿宋_GB2312"/>
          <w:b/>
          <w:sz w:val="32"/>
          <w:szCs w:val="32"/>
        </w:rPr>
      </w:pPr>
    </w:p>
    <w:p>
      <w:pPr>
        <w:spacing w:line="580" w:lineRule="exact"/>
        <w:ind w:firstLine="646" w:firstLineChars="200"/>
        <w:rPr>
          <w:rStyle w:val="10"/>
          <w:rFonts w:ascii="黑体" w:hAnsi="黑体" w:eastAsia="黑体" w:cs="黑体"/>
          <w:bCs/>
          <w:sz w:val="32"/>
          <w:szCs w:val="32"/>
        </w:rPr>
      </w:pPr>
      <w:r>
        <w:rPr>
          <w:rStyle w:val="10"/>
          <w:rFonts w:hint="eastAsia" w:ascii="黑体" w:hAnsi="黑体" w:eastAsia="黑体" w:cs="黑体"/>
          <w:bCs/>
          <w:sz w:val="32"/>
          <w:szCs w:val="32"/>
        </w:rPr>
        <w:t>第四部分 搬迁费、临时安置费和停产停业补助费标准</w:t>
      </w:r>
    </w:p>
    <w:p>
      <w:pPr>
        <w:spacing w:line="580" w:lineRule="exact"/>
        <w:ind w:firstLine="632" w:firstLineChars="196"/>
        <w:rPr>
          <w:rStyle w:val="10"/>
          <w:rFonts w:ascii="楷体" w:hAnsi="楷体" w:eastAsia="楷体" w:cs="楷体"/>
          <w:sz w:val="32"/>
          <w:szCs w:val="32"/>
        </w:rPr>
      </w:pPr>
      <w:r>
        <w:rPr>
          <w:rStyle w:val="10"/>
          <w:rFonts w:hint="eastAsia" w:ascii="楷体" w:hAnsi="楷体" w:eastAsia="楷体" w:cs="楷体"/>
          <w:sz w:val="32"/>
          <w:szCs w:val="32"/>
        </w:rPr>
        <w:t>十四、搬迁奖励</w:t>
      </w:r>
    </w:p>
    <w:p>
      <w:pPr>
        <w:spacing w:line="580" w:lineRule="exact"/>
        <w:ind w:left="-2" w:leftChars="-1" w:firstLine="646" w:firstLineChars="200"/>
        <w:rPr>
          <w:rStyle w:val="10"/>
          <w:rFonts w:ascii="仿宋_GB2312" w:hAnsi="仿宋_GB2312" w:eastAsia="仿宋_GB2312" w:cs="仿宋_GB2312"/>
          <w:b/>
          <w:sz w:val="32"/>
          <w:szCs w:val="32"/>
        </w:rPr>
      </w:pPr>
      <w:r>
        <w:rPr>
          <w:rStyle w:val="10"/>
          <w:rFonts w:hint="eastAsia" w:ascii="仿宋_GB2312" w:hAnsi="仿宋_GB2312" w:eastAsia="仿宋_GB2312" w:cs="仿宋_GB2312"/>
          <w:sz w:val="32"/>
          <w:szCs w:val="32"/>
        </w:rPr>
        <w:t>对在签约期限内签订协议并搬迁的被征收人，房屋征收部门可以给予每产权户最高5万元（安置面积在80㎡以上含80㎡）的按期搬迁奖励；不足80㎡的按625元/㎡给予计算按期搬迁奖励。</w:t>
      </w:r>
    </w:p>
    <w:p>
      <w:pPr>
        <w:spacing w:line="580" w:lineRule="exact"/>
        <w:ind w:firstLine="632" w:firstLineChars="196"/>
        <w:rPr>
          <w:rStyle w:val="10"/>
          <w:rFonts w:ascii="楷体" w:hAnsi="楷体" w:eastAsia="楷体" w:cs="楷体"/>
          <w:sz w:val="32"/>
          <w:szCs w:val="32"/>
        </w:rPr>
      </w:pPr>
      <w:r>
        <w:rPr>
          <w:rStyle w:val="10"/>
          <w:rFonts w:hint="eastAsia" w:ascii="楷体" w:hAnsi="楷体" w:eastAsia="楷体" w:cs="楷体"/>
          <w:sz w:val="32"/>
          <w:szCs w:val="32"/>
        </w:rPr>
        <w:t>十五、搬迁费标准</w:t>
      </w:r>
    </w:p>
    <w:p>
      <w:pPr>
        <w:tabs>
          <w:tab w:val="left" w:pos="4252"/>
          <w:tab w:val="center" w:leader="middleDot" w:pos="8504"/>
        </w:tabs>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b/>
          <w:sz w:val="32"/>
          <w:szCs w:val="32"/>
        </w:rPr>
        <w:t>（一）住宅：</w:t>
      </w:r>
      <w:r>
        <w:rPr>
          <w:rStyle w:val="10"/>
          <w:rFonts w:hint="eastAsia" w:ascii="仿宋_GB2312" w:hAnsi="仿宋_GB2312" w:eastAsia="仿宋_GB2312" w:cs="仿宋_GB2312"/>
          <w:sz w:val="32"/>
          <w:szCs w:val="32"/>
        </w:rPr>
        <w:t>按经认定的建筑面积计算，标准为 5 元/㎡·次（详见附件4）。每户搬迁补助不足1000元的，按1000元给予补偿。被征收人选择货币补偿并且不购买新建安商房，发放一次搬迁费；被征收人选择货币补偿并且购买新建安商房或者选择产权调换的，发放两次搬迁费。</w:t>
      </w:r>
    </w:p>
    <w:p>
      <w:pPr>
        <w:tabs>
          <w:tab w:val="left" w:pos="4252"/>
          <w:tab w:val="center" w:leader="middleDot" w:pos="8504"/>
        </w:tabs>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b/>
          <w:bCs/>
          <w:sz w:val="32"/>
          <w:szCs w:val="32"/>
        </w:rPr>
        <w:t>（二）未经登记经营性用房：</w:t>
      </w:r>
      <w:r>
        <w:rPr>
          <w:rStyle w:val="10"/>
          <w:rFonts w:hint="eastAsia" w:ascii="仿宋_GB2312" w:hAnsi="仿宋_GB2312" w:eastAsia="仿宋_GB2312" w:cs="仿宋_GB2312"/>
          <w:sz w:val="32"/>
          <w:szCs w:val="32"/>
        </w:rPr>
        <w:t>按经认定的建筑面积计算，标准为6元/㎡，发放一次搬迁费。</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b/>
          <w:sz w:val="32"/>
          <w:szCs w:val="32"/>
        </w:rPr>
        <w:t>（三）企业厂房：</w:t>
      </w:r>
      <w:r>
        <w:rPr>
          <w:rStyle w:val="10"/>
          <w:rFonts w:hint="eastAsia" w:ascii="仿宋_GB2312" w:hAnsi="仿宋_GB2312" w:eastAsia="仿宋_GB2312" w:cs="仿宋_GB2312"/>
          <w:sz w:val="32"/>
          <w:szCs w:val="32"/>
        </w:rPr>
        <w:t>按经认定的建筑面积计算，标准为6元/㎡·次，发放一次搬迁费（详见附件4）。其中，（1）对于可恢复使用的设备由被征收人处置，按标准给予补助（详见附件7）。对搬迁费有异议的，也可选择由依法选取的评估公司对搬迁费进行评估，根据评估结果进行补偿。（2）对于因搬迁丧失使用功能的大型、特种机器设备，由被征收人提出申请，经现场核实后，由具有相应资质的评估公司进行评估，根据评估结果进行补偿。</w:t>
      </w:r>
    </w:p>
    <w:p>
      <w:pPr>
        <w:tabs>
          <w:tab w:val="left" w:pos="4252"/>
          <w:tab w:val="center" w:leader="middleDot" w:pos="8504"/>
        </w:tabs>
        <w:spacing w:line="580" w:lineRule="exact"/>
        <w:ind w:firstLine="632" w:firstLineChars="196"/>
        <w:rPr>
          <w:rStyle w:val="10"/>
          <w:rFonts w:ascii="楷体" w:hAnsi="楷体" w:eastAsia="楷体" w:cs="楷体"/>
          <w:sz w:val="32"/>
          <w:szCs w:val="32"/>
        </w:rPr>
      </w:pPr>
      <w:r>
        <w:rPr>
          <w:rStyle w:val="10"/>
          <w:rFonts w:hint="eastAsia" w:ascii="楷体" w:hAnsi="楷体" w:eastAsia="楷体" w:cs="楷体"/>
          <w:sz w:val="32"/>
          <w:szCs w:val="32"/>
        </w:rPr>
        <w:t>十六、住宅的过渡方式和过渡期限</w:t>
      </w:r>
    </w:p>
    <w:p>
      <w:pPr>
        <w:tabs>
          <w:tab w:val="left" w:pos="4252"/>
          <w:tab w:val="center" w:leader="middleDot" w:pos="8504"/>
        </w:tabs>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由被征收人领取临时安置补助费自行过渡。被征收人确实无法自行过渡的，由征收人提供周转用房，不再发放住宅临时安置房。</w:t>
      </w:r>
    </w:p>
    <w:p>
      <w:pPr>
        <w:tabs>
          <w:tab w:val="left" w:pos="4252"/>
          <w:tab w:val="center" w:leader="middleDot" w:pos="8504"/>
        </w:tabs>
        <w:spacing w:line="580" w:lineRule="exact"/>
        <w:ind w:firstLine="646" w:firstLineChars="200"/>
        <w:rPr>
          <w:rStyle w:val="10"/>
          <w:rFonts w:ascii="楷体" w:hAnsi="楷体" w:eastAsia="楷体" w:cs="楷体"/>
          <w:sz w:val="32"/>
          <w:szCs w:val="32"/>
        </w:rPr>
      </w:pPr>
      <w:r>
        <w:rPr>
          <w:rStyle w:val="10"/>
          <w:rFonts w:hint="eastAsia" w:ascii="楷体" w:hAnsi="楷体" w:eastAsia="楷体" w:cs="楷体"/>
          <w:sz w:val="32"/>
          <w:szCs w:val="32"/>
        </w:rPr>
        <w:t>十七、住宅临时安置费标准</w:t>
      </w:r>
    </w:p>
    <w:p>
      <w:pPr>
        <w:tabs>
          <w:tab w:val="left" w:pos="4252"/>
          <w:tab w:val="center" w:leader="middleDot" w:pos="8504"/>
        </w:tabs>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一）临时安置补助费标准：按经认定的应安置的建筑面积8元/㎡·月（详见附件4），自被征收人按期签订协议并腾空房屋之日起，至征收部门通知交房之日止；符合以下条件：①一户一宅；②征收前长期居住在该房屋，且是唯一住地，征收后便无居住场所，临时安置费不足1600元/月·户的，按每月每户1600元发放。</w:t>
      </w:r>
    </w:p>
    <w:p>
      <w:pPr>
        <w:tabs>
          <w:tab w:val="left" w:pos="4252"/>
          <w:tab w:val="center" w:leader="middleDot" w:pos="8504"/>
        </w:tabs>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（二）选择货币补偿且不购买新建安商房或现房产权调换的，按可货币补偿面积或现房产权调换面积计算，一次性给予6个月的临时安置费。</w:t>
      </w:r>
    </w:p>
    <w:p>
      <w:pPr>
        <w:spacing w:line="580" w:lineRule="exact"/>
        <w:ind w:firstLine="646" w:firstLineChars="200"/>
        <w:rPr>
          <w:rStyle w:val="10"/>
          <w:rFonts w:ascii="仿宋_GB2312" w:hAnsi="仿宋_GB2312" w:eastAsia="仿宋_GB2312" w:cs="仿宋_GB2312"/>
          <w:color w:val="000000" w:themeColor="text1"/>
          <w:sz w:val="32"/>
          <w:szCs w:val="32"/>
          <w:highlight w:val="cyan"/>
          <w14:textFill>
            <w14:solidFill>
              <w14:schemeClr w14:val="tx1"/>
            </w14:solidFill>
          </w14:textFill>
        </w:rPr>
      </w:pPr>
      <w:r>
        <w:rPr>
          <w:rStyle w:val="10"/>
          <w:rFonts w:hint="eastAsia" w:ascii="仿宋_GB2312" w:hAnsi="仿宋_GB2312" w:eastAsia="仿宋_GB2312" w:cs="仿宋_GB2312"/>
          <w:color w:val="000000" w:themeColor="text1"/>
          <w:sz w:val="32"/>
          <w:szCs w:val="32"/>
          <w14:textFill>
            <w14:solidFill>
              <w14:schemeClr w14:val="tx1"/>
            </w14:solidFill>
          </w14:textFill>
        </w:rPr>
        <w:t>（三）除不可抗力外，过渡期限超出36个月的，从逾期之日起，房屋征收部门应当向自行过渡的被征收人支付双倍临时安置费。享受临时安置费每月每户1600元保障的，遇逾期安置的，若按实际征收的面积双倍计算，临时安置费超过以上优惠标准的，按实际征收面积重新核准临时安置费；不超过优惠标准的仍按原标准执行，不予双倍补助。遇逾期安置的，对使用周转用房的被征收人按规定标准支付临时安置费。</w:t>
      </w:r>
    </w:p>
    <w:p>
      <w:pPr>
        <w:tabs>
          <w:tab w:val="left" w:pos="4252"/>
          <w:tab w:val="center" w:leader="middleDot" w:pos="8504"/>
        </w:tabs>
        <w:spacing w:line="580" w:lineRule="exact"/>
        <w:ind w:firstLine="632" w:firstLineChars="196"/>
        <w:rPr>
          <w:rStyle w:val="10"/>
          <w:rFonts w:ascii="楷体" w:hAnsi="楷体" w:eastAsia="楷体" w:cs="楷体"/>
          <w:sz w:val="32"/>
          <w:szCs w:val="32"/>
        </w:rPr>
      </w:pPr>
      <w:r>
        <w:rPr>
          <w:rStyle w:val="10"/>
          <w:rFonts w:hint="eastAsia" w:ascii="楷体" w:hAnsi="楷体" w:eastAsia="楷体" w:cs="楷体"/>
          <w:sz w:val="32"/>
          <w:szCs w:val="32"/>
        </w:rPr>
        <w:t>十八、企业厂房的停产停业补助费标准</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征收房屋造成停产停业的，停产停业损失的补偿标准被征收人可选择以下标准之一进行补偿：</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1.根据经营者近3年的年平均净利润确定，生产经营期限不足3年的，以实际生产经营期限的年平均净利润确定。净利润根据税务部门出具的税后利润额证明材料确定；税务部门无法出具证明的，根据具备相应资质的会计师事务所出具的企业年度审计报告确定。</w:t>
      </w:r>
    </w:p>
    <w:p>
      <w:pPr>
        <w:spacing w:line="580" w:lineRule="exact"/>
        <w:ind w:firstLine="646" w:firstLineChars="200"/>
        <w:rPr>
          <w:rStyle w:val="10"/>
          <w:rFonts w:ascii="仿宋_GB2312" w:hAnsi="仿宋_GB2312" w:eastAsia="仿宋_GB2312" w:cs="仿宋_GB2312"/>
          <w:color w:val="FF0000"/>
          <w:sz w:val="32"/>
          <w:szCs w:val="32"/>
        </w:rPr>
      </w:pPr>
      <w:r>
        <w:rPr>
          <w:rStyle w:val="10"/>
          <w:rFonts w:hint="eastAsia" w:ascii="仿宋_GB2312" w:hAnsi="仿宋_GB2312" w:eastAsia="仿宋_GB2312" w:cs="仿宋_GB2312"/>
          <w:color w:val="000000" w:themeColor="text1"/>
          <w:sz w:val="32"/>
          <w:szCs w:val="32"/>
          <w14:textFill>
            <w14:solidFill>
              <w14:schemeClr w14:val="tx1"/>
            </w14:solidFill>
          </w14:textFill>
        </w:rPr>
        <w:t>2.按经认定的建筑面积计算，企业厂房标准为18元/㎡·月，并一次性给予6个月补偿。</w:t>
      </w:r>
    </w:p>
    <w:p>
      <w:pPr>
        <w:spacing w:line="580" w:lineRule="exact"/>
        <w:ind w:firstLine="646" w:firstLineChars="200"/>
        <w:rPr>
          <w:rStyle w:val="10"/>
          <w:rFonts w:ascii="仿宋_GB2312" w:hAnsi="仿宋_GB2312" w:eastAsia="仿宋_GB2312" w:cs="仿宋_GB2312"/>
          <w:b/>
          <w:sz w:val="32"/>
          <w:szCs w:val="32"/>
        </w:rPr>
      </w:pPr>
    </w:p>
    <w:p>
      <w:pPr>
        <w:spacing w:line="580" w:lineRule="exact"/>
        <w:ind w:firstLine="646" w:firstLineChars="200"/>
        <w:jc w:val="center"/>
        <w:rPr>
          <w:rStyle w:val="10"/>
          <w:rFonts w:ascii="仿宋_GB2312" w:hAnsi="仿宋_GB2312" w:eastAsia="仿宋_GB2312" w:cs="仿宋_GB2312"/>
          <w:b/>
          <w:sz w:val="32"/>
          <w:szCs w:val="32"/>
        </w:rPr>
      </w:pPr>
      <w:r>
        <w:rPr>
          <w:rStyle w:val="10"/>
          <w:rFonts w:hint="eastAsia" w:ascii="黑体" w:hAnsi="黑体" w:eastAsia="黑体" w:cs="黑体"/>
          <w:bCs/>
          <w:sz w:val="32"/>
          <w:szCs w:val="32"/>
        </w:rPr>
        <w:t>第五部分 补偿决定</w:t>
      </w:r>
    </w:p>
    <w:p>
      <w:pPr>
        <w:spacing w:line="580" w:lineRule="exact"/>
        <w:ind w:firstLine="632" w:firstLineChars="196"/>
        <w:rPr>
          <w:rStyle w:val="10"/>
          <w:rFonts w:ascii="楷体" w:hAnsi="楷体" w:eastAsia="楷体" w:cs="楷体"/>
          <w:sz w:val="32"/>
          <w:szCs w:val="32"/>
        </w:rPr>
      </w:pPr>
      <w:r>
        <w:rPr>
          <w:rStyle w:val="10"/>
          <w:rFonts w:hint="eastAsia" w:ascii="楷体" w:hAnsi="楷体" w:eastAsia="楷体" w:cs="楷体"/>
          <w:sz w:val="32"/>
          <w:szCs w:val="32"/>
        </w:rPr>
        <w:t>十九、补偿决定</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房屋征收部门与被征收人在规定的签约期限达不成协议的，或被征收房屋所有权人不明确的，由房屋征收部门报请作出房屋征收决定的丰泽区人民政府作出补偿决定，并在房屋征收范围内予以公告。补偿决定认定的补偿金额以经鉴定认可的评估结果作为依据，被征收人不再享受本方案规定的优惠奖励办法。</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被征收人对补偿决定不服的，可以依法申请行政复议，也可以依法提起行政诉讼。被征收人在法定期限内不申请行政复议或者不提起行政诉讼，在补偿决定规定的期限内又不搬迁的，由作出房屋征收决定的丰泽区人民政府依法申请人民法院强制执行。</w:t>
      </w:r>
    </w:p>
    <w:p>
      <w:pPr>
        <w:spacing w:line="580" w:lineRule="exact"/>
        <w:ind w:firstLine="646" w:firstLineChars="200"/>
        <w:jc w:val="center"/>
        <w:rPr>
          <w:rStyle w:val="10"/>
          <w:rFonts w:ascii="黑体" w:hAnsi="黑体" w:eastAsia="黑体" w:cs="黑体"/>
          <w:bCs/>
          <w:sz w:val="32"/>
          <w:szCs w:val="32"/>
        </w:rPr>
      </w:pPr>
      <w:r>
        <w:rPr>
          <w:rStyle w:val="10"/>
          <w:rFonts w:hint="eastAsia" w:ascii="黑体" w:hAnsi="黑体" w:eastAsia="黑体" w:cs="黑体"/>
          <w:bCs/>
          <w:sz w:val="32"/>
          <w:szCs w:val="32"/>
        </w:rPr>
        <w:t>第六部分 附 则</w:t>
      </w:r>
    </w:p>
    <w:p>
      <w:pPr>
        <w:spacing w:line="580" w:lineRule="exact"/>
        <w:ind w:firstLine="632" w:firstLineChars="196"/>
        <w:rPr>
          <w:rStyle w:val="10"/>
          <w:rFonts w:ascii="楷体" w:hAnsi="楷体" w:eastAsia="楷体" w:cs="楷体"/>
          <w:sz w:val="32"/>
          <w:szCs w:val="32"/>
        </w:rPr>
      </w:pPr>
      <w:r>
        <w:rPr>
          <w:rStyle w:val="10"/>
          <w:rFonts w:hint="eastAsia" w:ascii="楷体" w:hAnsi="楷体" w:eastAsia="楷体" w:cs="楷体"/>
          <w:sz w:val="32"/>
          <w:szCs w:val="32"/>
        </w:rPr>
        <w:t>二十、其他类型建筑的补偿办法</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征收中涉及军事设施、学校、党政机关办公用地可依法依规采取用地置换的办法；不可移动文物、历史建筑、传统风貌建筑等其他房屋，依据有关法律、法规处理；祠堂、宫庙按统规自建处理。</w:t>
      </w:r>
    </w:p>
    <w:p>
      <w:pPr>
        <w:spacing w:line="580" w:lineRule="exact"/>
        <w:ind w:firstLine="632" w:firstLineChars="196"/>
        <w:rPr>
          <w:rStyle w:val="10"/>
          <w:rFonts w:ascii="楷体" w:hAnsi="楷体" w:eastAsia="楷体" w:cs="楷体"/>
          <w:sz w:val="32"/>
          <w:szCs w:val="32"/>
        </w:rPr>
      </w:pPr>
      <w:r>
        <w:rPr>
          <w:rStyle w:val="10"/>
          <w:rFonts w:hint="eastAsia" w:ascii="楷体" w:hAnsi="楷体" w:eastAsia="楷体" w:cs="楷体"/>
          <w:sz w:val="32"/>
          <w:szCs w:val="32"/>
        </w:rPr>
        <w:t>二十一、适用范围</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本方案自征收公告发布之日起实施，未尽事宜按相关法律、法规的规定执行。</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本方案只适用泉州数字经济产业园三期项目土地房屋征收补偿安置，不作为其它项目征收补偿安置的依据。</w:t>
      </w: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鉴于片区房屋征收工作的延续性、可操作性，本方案与北峰街道辖区范围内以往房屋征收惯例不一致的，提请市、区项目建设指挥部研究确定。</w:t>
      </w:r>
    </w:p>
    <w:p>
      <w:pPr>
        <w:spacing w:line="580" w:lineRule="exact"/>
        <w:ind w:firstLine="632" w:firstLineChars="196"/>
        <w:rPr>
          <w:rStyle w:val="10"/>
          <w:rFonts w:ascii="楷体" w:hAnsi="楷体" w:eastAsia="楷体" w:cs="楷体"/>
          <w:sz w:val="32"/>
          <w:szCs w:val="32"/>
        </w:rPr>
      </w:pPr>
      <w:r>
        <w:rPr>
          <w:rStyle w:val="10"/>
          <w:rFonts w:hint="eastAsia" w:ascii="楷体" w:hAnsi="楷体" w:eastAsia="楷体" w:cs="楷体"/>
          <w:sz w:val="32"/>
          <w:szCs w:val="32"/>
        </w:rPr>
        <w:t>二十二、本方案解释权归丰泽区住房和城乡建设局。</w:t>
      </w:r>
    </w:p>
    <w:p>
      <w:pPr>
        <w:spacing w:line="580" w:lineRule="exact"/>
        <w:ind w:firstLine="646" w:firstLineChars="200"/>
        <w:rPr>
          <w:rStyle w:val="10"/>
          <w:rFonts w:ascii="仿宋_GB2312" w:hAnsi="仿宋_GB2312" w:eastAsia="仿宋_GB2312" w:cs="仿宋_GB2312"/>
          <w:sz w:val="32"/>
          <w:szCs w:val="32"/>
        </w:rPr>
      </w:pPr>
    </w:p>
    <w:p>
      <w:pPr>
        <w:spacing w:line="580" w:lineRule="exact"/>
        <w:ind w:firstLine="646" w:firstLineChars="2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附件：1.被征收各类住宅货币征收补偿单价</w:t>
      </w:r>
    </w:p>
    <w:p>
      <w:pPr>
        <w:spacing w:line="580" w:lineRule="exact"/>
        <w:ind w:firstLine="161" w:firstLineChars="5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 xml:space="preserve">         2.被征收各类住宅材料费补贴单价表</w:t>
      </w:r>
    </w:p>
    <w:p>
      <w:pPr>
        <w:spacing w:line="580" w:lineRule="exact"/>
        <w:ind w:firstLine="1615" w:firstLineChars="5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3.企业厂房、仓库及其他配套用房补偿单价</w:t>
      </w:r>
    </w:p>
    <w:p>
      <w:pPr>
        <w:spacing w:line="580" w:lineRule="exact"/>
        <w:ind w:firstLine="1615" w:firstLineChars="5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4.搬迁补助费和临时过渡补助费标准</w:t>
      </w:r>
    </w:p>
    <w:p>
      <w:pPr>
        <w:spacing w:line="580" w:lineRule="exact"/>
        <w:ind w:firstLine="1615" w:firstLineChars="5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5.被征收住宅装修分类及补偿单价表</w:t>
      </w:r>
    </w:p>
    <w:p>
      <w:pPr>
        <w:spacing w:line="580" w:lineRule="exact"/>
        <w:ind w:firstLine="1615" w:firstLineChars="5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6.附属物补偿表</w:t>
      </w:r>
    </w:p>
    <w:p>
      <w:pPr>
        <w:spacing w:line="580" w:lineRule="exact"/>
        <w:ind w:firstLine="1615" w:firstLineChars="500"/>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7.设备搬迁补助标准</w:t>
      </w:r>
    </w:p>
    <w:p>
      <w:pPr>
        <w:spacing w:line="579" w:lineRule="exact"/>
        <w:rPr>
          <w:rStyle w:val="10"/>
          <w:rFonts w:ascii="仿宋_GB2312" w:hAnsi="仿宋_GB2312" w:eastAsia="仿宋_GB2312" w:cs="仿宋_GB2312"/>
          <w:sz w:val="32"/>
          <w:szCs w:val="32"/>
        </w:rPr>
      </w:pPr>
    </w:p>
    <w:p>
      <w:pPr>
        <w:spacing w:line="579" w:lineRule="exact"/>
        <w:rPr>
          <w:rStyle w:val="10"/>
          <w:rFonts w:ascii="仿宋_GB2312" w:hAnsi="仿宋_GB2312" w:eastAsia="仿宋_GB2312" w:cs="仿宋_GB2312"/>
          <w:sz w:val="32"/>
          <w:szCs w:val="32"/>
        </w:rPr>
      </w:pPr>
    </w:p>
    <w:p>
      <w:pPr>
        <w:spacing w:line="579" w:lineRule="exact"/>
        <w:rPr>
          <w:rStyle w:val="10"/>
          <w:rFonts w:ascii="仿宋_GB2312" w:hAnsi="仿宋_GB2312" w:eastAsia="仿宋_GB2312" w:cs="仿宋_GB2312"/>
          <w:sz w:val="30"/>
          <w:szCs w:val="30"/>
        </w:rPr>
      </w:pPr>
    </w:p>
    <w:p>
      <w:pPr>
        <w:spacing w:line="579" w:lineRule="exact"/>
        <w:rPr>
          <w:rStyle w:val="10"/>
          <w:rFonts w:ascii="仿宋_GB2312" w:hAnsi="仿宋_GB2312" w:eastAsia="仿宋_GB2312" w:cs="仿宋_GB2312"/>
          <w:sz w:val="30"/>
          <w:szCs w:val="30"/>
        </w:rPr>
      </w:pPr>
    </w:p>
    <w:p>
      <w:pPr>
        <w:spacing w:line="579" w:lineRule="exact"/>
        <w:rPr>
          <w:rStyle w:val="10"/>
          <w:rFonts w:ascii="仿宋_GB2312" w:hAnsi="仿宋_GB2312" w:eastAsia="仿宋_GB2312" w:cs="仿宋_GB2312"/>
          <w:sz w:val="30"/>
          <w:szCs w:val="30"/>
        </w:rPr>
      </w:pPr>
    </w:p>
    <w:p>
      <w:pPr>
        <w:spacing w:line="579" w:lineRule="exact"/>
        <w:rPr>
          <w:rStyle w:val="10"/>
          <w:rFonts w:ascii="仿宋_GB2312" w:hAnsi="仿宋_GB2312" w:eastAsia="仿宋_GB2312" w:cs="仿宋_GB2312"/>
          <w:sz w:val="30"/>
          <w:szCs w:val="30"/>
        </w:rPr>
      </w:pPr>
    </w:p>
    <w:p>
      <w:pPr>
        <w:spacing w:line="579" w:lineRule="exact"/>
        <w:rPr>
          <w:rStyle w:val="10"/>
          <w:rFonts w:ascii="仿宋_GB2312" w:hAnsi="仿宋_GB2312" w:eastAsia="仿宋_GB2312" w:cs="仿宋_GB2312"/>
          <w:sz w:val="30"/>
          <w:szCs w:val="30"/>
        </w:rPr>
      </w:pPr>
    </w:p>
    <w:p>
      <w:pPr>
        <w:spacing w:line="579" w:lineRule="exact"/>
        <w:rPr>
          <w:rStyle w:val="10"/>
          <w:rFonts w:ascii="仿宋_GB2312" w:hAnsi="仿宋_GB2312" w:eastAsia="仿宋_GB2312" w:cs="仿宋_GB2312"/>
          <w:sz w:val="30"/>
          <w:szCs w:val="30"/>
        </w:rPr>
      </w:pPr>
    </w:p>
    <w:p>
      <w:pPr>
        <w:spacing w:line="579" w:lineRule="exact"/>
        <w:rPr>
          <w:rStyle w:val="10"/>
          <w:rFonts w:ascii="黑体" w:hAnsi="黑体" w:eastAsia="黑体" w:cs="黑体"/>
          <w:sz w:val="32"/>
          <w:szCs w:val="32"/>
        </w:rPr>
      </w:pPr>
      <w:r>
        <w:rPr>
          <w:rStyle w:val="10"/>
          <w:rFonts w:hint="eastAsia" w:ascii="黑体" w:hAnsi="黑体" w:eastAsia="黑体" w:cs="黑体"/>
          <w:sz w:val="32"/>
          <w:szCs w:val="32"/>
        </w:rPr>
        <w:t>附件1</w:t>
      </w:r>
    </w:p>
    <w:p>
      <w:pPr>
        <w:spacing w:line="579" w:lineRule="exact"/>
        <w:rPr>
          <w:rStyle w:val="10"/>
          <w:rFonts w:ascii="仿宋_GB2312" w:hAnsi="仿宋_GB2312" w:eastAsia="仿宋_GB2312" w:cs="仿宋_GB2312"/>
          <w:sz w:val="24"/>
        </w:rPr>
      </w:pPr>
    </w:p>
    <w:p>
      <w:pPr>
        <w:spacing w:line="579" w:lineRule="exact"/>
        <w:jc w:val="center"/>
        <w:rPr>
          <w:rStyle w:val="10"/>
          <w:rFonts w:ascii="方正小标宋简体" w:hAnsi="方正小标宋简体" w:eastAsia="方正小标宋简体" w:cs="方正小标宋简体"/>
          <w:sz w:val="44"/>
          <w:szCs w:val="44"/>
        </w:rPr>
      </w:pPr>
      <w:r>
        <w:rPr>
          <w:rStyle w:val="10"/>
          <w:rFonts w:hint="eastAsia" w:ascii="方正小标宋简体" w:hAnsi="方正小标宋简体" w:eastAsia="方正小标宋简体" w:cs="方正小标宋简体"/>
          <w:sz w:val="44"/>
          <w:szCs w:val="44"/>
        </w:rPr>
        <w:t>被征收各类住宅货币征收补偿单价</w:t>
      </w:r>
    </w:p>
    <w:p>
      <w:pPr>
        <w:spacing w:line="579" w:lineRule="exact"/>
        <w:ind w:right="320"/>
        <w:jc w:val="right"/>
        <w:rPr>
          <w:rStyle w:val="10"/>
          <w:rFonts w:ascii="仿宋_GB2312" w:hAnsi="仿宋_GB2312" w:eastAsia="仿宋_GB2312" w:cs="仿宋_GB2312"/>
          <w:sz w:val="30"/>
          <w:szCs w:val="30"/>
        </w:rPr>
      </w:pPr>
      <w:r>
        <w:rPr>
          <w:rStyle w:val="10"/>
          <w:rFonts w:hint="eastAsia" w:ascii="仿宋_GB2312" w:hAnsi="仿宋_GB2312" w:eastAsia="仿宋_GB2312" w:cs="仿宋_GB2312"/>
          <w:sz w:val="30"/>
          <w:szCs w:val="30"/>
        </w:rPr>
        <w:t xml:space="preserve">    单位：元/㎡</w:t>
      </w:r>
    </w:p>
    <w:tbl>
      <w:tblPr>
        <w:tblStyle w:val="6"/>
        <w:tblpPr w:leftFromText="180" w:rightFromText="180" w:vertAnchor="text" w:horzAnchor="page" w:tblpXSpec="center" w:tblpY="263"/>
        <w:tblOverlap w:val="never"/>
        <w:tblW w:w="10040" w:type="dxa"/>
        <w:jc w:val="center"/>
        <w:tblLayout w:type="fixed"/>
        <w:tblCellMar>
          <w:top w:w="15" w:type="dxa"/>
          <w:left w:w="15" w:type="dxa"/>
          <w:bottom w:w="15" w:type="dxa"/>
          <w:right w:w="15" w:type="dxa"/>
        </w:tblCellMar>
      </w:tblPr>
      <w:tblGrid>
        <w:gridCol w:w="3818"/>
        <w:gridCol w:w="1298"/>
        <w:gridCol w:w="1234"/>
        <w:gridCol w:w="1171"/>
        <w:gridCol w:w="1202"/>
        <w:gridCol w:w="1317"/>
      </w:tblGrid>
      <w:tr>
        <w:tblPrEx>
          <w:tblCellMar>
            <w:top w:w="15" w:type="dxa"/>
            <w:left w:w="15" w:type="dxa"/>
            <w:bottom w:w="15" w:type="dxa"/>
            <w:right w:w="15" w:type="dxa"/>
          </w:tblCellMar>
        </w:tblPrEx>
        <w:trPr>
          <w:trHeight w:val="575" w:hRule="atLeast"/>
          <w:jc w:val="center"/>
        </w:trPr>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Style w:val="10"/>
                <w:rFonts w:ascii="黑体" w:hAnsi="黑体" w:eastAsia="黑体" w:cs="黑体"/>
                <w:kern w:val="0"/>
                <w:sz w:val="30"/>
                <w:szCs w:val="30"/>
              </w:rPr>
            </w:pPr>
            <w:r>
              <w:rPr>
                <w:rFonts w:hint="eastAsia" w:ascii="黑体" w:hAnsi="黑体" w:eastAsia="黑体" w:cs="黑体"/>
                <w:sz w:val="30"/>
              </w:rPr>
              <mc:AlternateContent>
                <mc:Choice Requires="wps">
                  <w:drawing>
                    <wp:anchor distT="0" distB="0" distL="114300" distR="114300" simplePos="0" relativeHeight="251665408" behindDoc="0" locked="0" layoutInCell="1" allowOverlap="1">
                      <wp:simplePos x="0" y="0"/>
                      <wp:positionH relativeFrom="column">
                        <wp:posOffset>-12065</wp:posOffset>
                      </wp:positionH>
                      <wp:positionV relativeFrom="paragraph">
                        <wp:posOffset>-8255</wp:posOffset>
                      </wp:positionV>
                      <wp:extent cx="2428875" cy="628650"/>
                      <wp:effectExtent l="1270" t="4445" r="8255" b="14605"/>
                      <wp:wrapNone/>
                      <wp:docPr id="10" name="直接连接符 10"/>
                      <wp:cNvGraphicFramePr/>
                      <a:graphic xmlns:a="http://schemas.openxmlformats.org/drawingml/2006/main">
                        <a:graphicData uri="http://schemas.microsoft.com/office/word/2010/wordprocessingShape">
                          <wps:wsp>
                            <wps:cNvCnPr/>
                            <wps:spPr>
                              <a:xfrm>
                                <a:off x="589915" y="2329815"/>
                                <a:ext cx="2428875" cy="628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95pt;margin-top:-0.65pt;height:49.5pt;width:191.25pt;z-index:251665408;mso-width-relative:page;mso-height-relative:page;" filled="f" stroked="t" coordsize="21600,21600" o:gfxdata="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0Lo4E2QAAAAgBAAAPAAAAAAAAAAEAIAAAACIA&#10;AABkcnMvZG93bnJldi54bWxQSwECFAAUAAAACACHTuJALS7DGggCAADlAwAADgAAAAAAAAABACAA&#10;AAAoAQAAZHJzL2Uyb0RvYy54bWxQSwUGAAAAAAYABgBZAQAAogUAAAAA&#10;">
                      <v:fill on="f" focussize="0,0"/>
                      <v:stroke color="#4A7EBB [3204]" joinstyle="round"/>
                      <v:imagedata o:title=""/>
                      <o:lock v:ext="edit" aspectratio="f"/>
                    </v:line>
                  </w:pict>
                </mc:Fallback>
              </mc:AlternateContent>
            </w:r>
            <w:r>
              <w:rPr>
                <w:rStyle w:val="10"/>
                <w:rFonts w:hint="eastAsia" w:ascii="黑体" w:hAnsi="黑体" w:eastAsia="黑体" w:cs="黑体"/>
                <w:kern w:val="0"/>
                <w:sz w:val="30"/>
                <w:szCs w:val="30"/>
              </w:rPr>
              <w:t xml:space="preserve">            层次</w:t>
            </w:r>
          </w:p>
          <w:p>
            <w:pPr>
              <w:spacing w:line="579" w:lineRule="exact"/>
              <w:rPr>
                <w:rStyle w:val="10"/>
                <w:rFonts w:ascii="黑体" w:hAnsi="黑体" w:eastAsia="黑体" w:cs="黑体"/>
                <w:kern w:val="0"/>
                <w:sz w:val="30"/>
                <w:szCs w:val="30"/>
              </w:rPr>
            </w:pPr>
            <w:r>
              <w:rPr>
                <w:rStyle w:val="10"/>
                <w:rFonts w:hint="eastAsia" w:ascii="黑体" w:hAnsi="黑体" w:eastAsia="黑体" w:cs="黑体"/>
                <w:kern w:val="0"/>
                <w:sz w:val="30"/>
                <w:szCs w:val="30"/>
              </w:rPr>
              <w:t xml:space="preserve">   结构</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Style w:val="10"/>
                <w:rFonts w:ascii="黑体" w:hAnsi="黑体" w:eastAsia="黑体" w:cs="黑体"/>
                <w:kern w:val="0"/>
                <w:sz w:val="30"/>
                <w:szCs w:val="30"/>
              </w:rPr>
            </w:pPr>
            <w:r>
              <w:rPr>
                <w:rStyle w:val="10"/>
                <w:rFonts w:hint="eastAsia" w:ascii="黑体" w:hAnsi="黑体" w:eastAsia="黑体" w:cs="黑体"/>
                <w:kern w:val="0"/>
                <w:sz w:val="30"/>
                <w:szCs w:val="30"/>
              </w:rPr>
              <w:t>总一层</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Style w:val="10"/>
                <w:rFonts w:ascii="黑体" w:hAnsi="黑体" w:eastAsia="黑体" w:cs="黑体"/>
                <w:kern w:val="0"/>
                <w:sz w:val="30"/>
                <w:szCs w:val="30"/>
              </w:rPr>
            </w:pPr>
            <w:r>
              <w:rPr>
                <w:rStyle w:val="10"/>
                <w:rFonts w:hint="eastAsia" w:ascii="黑体" w:hAnsi="黑体" w:eastAsia="黑体" w:cs="黑体"/>
                <w:kern w:val="0"/>
                <w:sz w:val="30"/>
                <w:szCs w:val="30"/>
              </w:rPr>
              <w:t>总二层</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Style w:val="10"/>
                <w:rFonts w:ascii="黑体" w:hAnsi="黑体" w:eastAsia="黑体" w:cs="黑体"/>
                <w:kern w:val="0"/>
                <w:sz w:val="30"/>
                <w:szCs w:val="30"/>
              </w:rPr>
            </w:pPr>
            <w:r>
              <w:rPr>
                <w:rStyle w:val="10"/>
                <w:rFonts w:hint="eastAsia" w:ascii="黑体" w:hAnsi="黑体" w:eastAsia="黑体" w:cs="黑体"/>
                <w:kern w:val="0"/>
                <w:sz w:val="30"/>
                <w:szCs w:val="30"/>
              </w:rPr>
              <w:t>总三层</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Style w:val="10"/>
                <w:rFonts w:ascii="黑体" w:hAnsi="黑体" w:eastAsia="黑体" w:cs="黑体"/>
                <w:kern w:val="0"/>
                <w:sz w:val="30"/>
                <w:szCs w:val="30"/>
              </w:rPr>
            </w:pPr>
            <w:r>
              <w:rPr>
                <w:rStyle w:val="10"/>
                <w:rFonts w:hint="eastAsia" w:ascii="黑体" w:hAnsi="黑体" w:eastAsia="黑体" w:cs="黑体"/>
                <w:kern w:val="0"/>
                <w:sz w:val="30"/>
                <w:szCs w:val="30"/>
              </w:rPr>
              <w:t>总四层</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Style w:val="10"/>
                <w:rFonts w:ascii="黑体" w:hAnsi="黑体" w:eastAsia="黑体" w:cs="黑体"/>
                <w:kern w:val="0"/>
                <w:sz w:val="30"/>
                <w:szCs w:val="30"/>
              </w:rPr>
            </w:pPr>
            <w:r>
              <w:rPr>
                <w:rStyle w:val="10"/>
                <w:rFonts w:hint="eastAsia" w:ascii="黑体" w:hAnsi="黑体" w:eastAsia="黑体" w:cs="黑体"/>
                <w:kern w:val="0"/>
                <w:sz w:val="30"/>
                <w:szCs w:val="30"/>
              </w:rPr>
              <w:t>总五层</w:t>
            </w:r>
          </w:p>
          <w:p>
            <w:pPr>
              <w:spacing w:line="579" w:lineRule="exact"/>
              <w:jc w:val="center"/>
              <w:rPr>
                <w:rStyle w:val="10"/>
                <w:rFonts w:ascii="黑体" w:hAnsi="黑体" w:eastAsia="黑体" w:cs="黑体"/>
                <w:kern w:val="0"/>
                <w:sz w:val="30"/>
                <w:szCs w:val="30"/>
              </w:rPr>
            </w:pPr>
            <w:r>
              <w:rPr>
                <w:rStyle w:val="10"/>
                <w:rFonts w:hint="eastAsia" w:ascii="黑体" w:hAnsi="黑体" w:eastAsia="黑体" w:cs="黑体"/>
                <w:kern w:val="0"/>
                <w:sz w:val="30"/>
                <w:szCs w:val="30"/>
              </w:rPr>
              <w:t>及以上</w:t>
            </w:r>
          </w:p>
        </w:tc>
      </w:tr>
      <w:tr>
        <w:tblPrEx>
          <w:tblCellMar>
            <w:top w:w="15" w:type="dxa"/>
            <w:left w:w="15" w:type="dxa"/>
            <w:bottom w:w="15" w:type="dxa"/>
            <w:right w:w="15" w:type="dxa"/>
          </w:tblCellMar>
        </w:tblPrEx>
        <w:trPr>
          <w:trHeight w:val="575" w:hRule="atLeast"/>
          <w:jc w:val="center"/>
        </w:trPr>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框架</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9443</w:t>
            </w:r>
          </w:p>
        </w:tc>
        <w:tc>
          <w:tcPr>
            <w:tcW w:w="12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7869</w:t>
            </w:r>
          </w:p>
        </w:tc>
        <w:tc>
          <w:tcPr>
            <w:tcW w:w="11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6295</w:t>
            </w:r>
          </w:p>
        </w:tc>
        <w:tc>
          <w:tcPr>
            <w:tcW w:w="12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5666</w:t>
            </w:r>
          </w:p>
        </w:tc>
        <w:tc>
          <w:tcPr>
            <w:tcW w:w="13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5351</w:t>
            </w:r>
          </w:p>
        </w:tc>
      </w:tr>
      <w:tr>
        <w:tblPrEx>
          <w:tblCellMar>
            <w:top w:w="15" w:type="dxa"/>
            <w:left w:w="15" w:type="dxa"/>
            <w:bottom w:w="15" w:type="dxa"/>
            <w:right w:w="15" w:type="dxa"/>
          </w:tblCellMar>
        </w:tblPrEx>
        <w:trPr>
          <w:trHeight w:val="575" w:hRule="atLeast"/>
          <w:jc w:val="center"/>
        </w:trPr>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砖混</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9159</w:t>
            </w:r>
          </w:p>
        </w:tc>
        <w:tc>
          <w:tcPr>
            <w:tcW w:w="12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7633</w:t>
            </w:r>
          </w:p>
        </w:tc>
        <w:tc>
          <w:tcPr>
            <w:tcW w:w="11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6106</w:t>
            </w:r>
          </w:p>
        </w:tc>
        <w:tc>
          <w:tcPr>
            <w:tcW w:w="12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5496</w:t>
            </w:r>
          </w:p>
        </w:tc>
        <w:tc>
          <w:tcPr>
            <w:tcW w:w="13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5190</w:t>
            </w:r>
          </w:p>
        </w:tc>
      </w:tr>
      <w:tr>
        <w:tblPrEx>
          <w:tblCellMar>
            <w:top w:w="15" w:type="dxa"/>
            <w:left w:w="15" w:type="dxa"/>
            <w:bottom w:w="15" w:type="dxa"/>
            <w:right w:w="15" w:type="dxa"/>
          </w:tblCellMar>
        </w:tblPrEx>
        <w:trPr>
          <w:trHeight w:val="575" w:hRule="atLeast"/>
          <w:jc w:val="center"/>
        </w:trPr>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石混</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8970</w:t>
            </w:r>
          </w:p>
        </w:tc>
        <w:tc>
          <w:tcPr>
            <w:tcW w:w="12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7475</w:t>
            </w:r>
          </w:p>
        </w:tc>
        <w:tc>
          <w:tcPr>
            <w:tcW w:w="11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5980</w:t>
            </w:r>
          </w:p>
        </w:tc>
        <w:tc>
          <w:tcPr>
            <w:tcW w:w="12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5382</w:t>
            </w:r>
          </w:p>
        </w:tc>
        <w:tc>
          <w:tcPr>
            <w:tcW w:w="13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5083</w:t>
            </w:r>
          </w:p>
        </w:tc>
      </w:tr>
      <w:tr>
        <w:tblPrEx>
          <w:tblCellMar>
            <w:top w:w="15" w:type="dxa"/>
            <w:left w:w="15" w:type="dxa"/>
            <w:bottom w:w="15" w:type="dxa"/>
            <w:right w:w="15" w:type="dxa"/>
          </w:tblCellMar>
        </w:tblPrEx>
        <w:trPr>
          <w:trHeight w:val="575" w:hRule="atLeast"/>
          <w:jc w:val="center"/>
        </w:trPr>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砖木、石木、石、土木</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8782</w:t>
            </w:r>
          </w:p>
        </w:tc>
        <w:tc>
          <w:tcPr>
            <w:tcW w:w="1234"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7318</w:t>
            </w:r>
          </w:p>
        </w:tc>
        <w:tc>
          <w:tcPr>
            <w:tcW w:w="11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5854</w:t>
            </w:r>
          </w:p>
        </w:tc>
        <w:tc>
          <w:tcPr>
            <w:tcW w:w="12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5269</w:t>
            </w:r>
          </w:p>
        </w:tc>
        <w:tc>
          <w:tcPr>
            <w:tcW w:w="13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4976</w:t>
            </w:r>
          </w:p>
        </w:tc>
      </w:tr>
      <w:tr>
        <w:tblPrEx>
          <w:tblCellMar>
            <w:top w:w="15" w:type="dxa"/>
            <w:left w:w="15" w:type="dxa"/>
            <w:bottom w:w="15" w:type="dxa"/>
            <w:right w:w="15" w:type="dxa"/>
          </w:tblCellMar>
        </w:tblPrEx>
        <w:trPr>
          <w:trHeight w:val="1856" w:hRule="atLeast"/>
          <w:jc w:val="center"/>
        </w:trPr>
        <w:tc>
          <w:tcPr>
            <w:tcW w:w="10040" w:type="dxa"/>
            <w:gridSpan w:val="6"/>
            <w:tcBorders>
              <w:top w:val="single" w:color="000000" w:sz="4" w:space="0"/>
              <w:left w:val="single" w:color="000000" w:sz="4" w:space="0"/>
              <w:bottom w:val="single" w:color="000000" w:sz="4" w:space="0"/>
              <w:right w:val="single" w:color="000000" w:sz="4" w:space="0"/>
            </w:tcBorders>
            <w:shd w:val="clear" w:color="auto" w:fill="auto"/>
          </w:tcPr>
          <w:p>
            <w:pPr>
              <w:spacing w:line="579" w:lineRule="exact"/>
              <w:jc w:val="left"/>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备注：</w:t>
            </w:r>
          </w:p>
          <w:p>
            <w:pPr>
              <w:spacing w:line="579" w:lineRule="exact"/>
              <w:jc w:val="left"/>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 xml:space="preserve">    1.本表所列单价不包含装修装饰价值，装修装饰补偿另计。</w:t>
            </w:r>
          </w:p>
          <w:p>
            <w:pPr>
              <w:spacing w:line="579" w:lineRule="exact"/>
              <w:jc w:val="left"/>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 xml:space="preserve">    2.本表所列单价不包含按期搬迁奖励、货币补偿方式奖励及购房补助。</w:t>
            </w:r>
          </w:p>
          <w:p>
            <w:pPr>
              <w:spacing w:line="579" w:lineRule="exact"/>
              <w:jc w:val="left"/>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 xml:space="preserve">    3.本表所列单价为两证齐全已登记住宅房屋及有合法用地审批手续且2004年10月1日前基建的住宅房屋的补偿单价。</w:t>
            </w:r>
          </w:p>
        </w:tc>
      </w:tr>
    </w:tbl>
    <w:p>
      <w:pPr>
        <w:spacing w:line="579" w:lineRule="exact"/>
        <w:rPr>
          <w:rStyle w:val="10"/>
          <w:rFonts w:ascii="仿宋_GB2312" w:hAnsi="仿宋_GB2312" w:eastAsia="仿宋_GB2312" w:cs="仿宋_GB2312"/>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r>
        <w:rPr>
          <w:rStyle w:val="10"/>
          <w:rFonts w:hint="eastAsia" w:ascii="黑体" w:hAnsi="黑体" w:eastAsia="黑体" w:cs="黑体"/>
          <w:sz w:val="32"/>
          <w:szCs w:val="32"/>
        </w:rPr>
        <w:t>附件2</w:t>
      </w:r>
    </w:p>
    <w:p>
      <w:pPr>
        <w:spacing w:line="579" w:lineRule="exact"/>
        <w:rPr>
          <w:rStyle w:val="10"/>
          <w:rFonts w:ascii="仿宋_GB2312" w:hAnsi="仿宋_GB2312" w:eastAsia="仿宋_GB2312" w:cs="仿宋_GB2312"/>
          <w:sz w:val="32"/>
          <w:szCs w:val="32"/>
        </w:rPr>
      </w:pPr>
    </w:p>
    <w:p>
      <w:pPr>
        <w:spacing w:line="579" w:lineRule="exact"/>
        <w:jc w:val="center"/>
        <w:rPr>
          <w:rStyle w:val="10"/>
          <w:rFonts w:ascii="方正小标宋简体" w:hAnsi="方正小标宋简体" w:eastAsia="方正小标宋简体" w:cs="方正小标宋简体"/>
          <w:sz w:val="44"/>
          <w:szCs w:val="44"/>
        </w:rPr>
      </w:pPr>
      <w:r>
        <w:rPr>
          <w:rStyle w:val="10"/>
          <w:rFonts w:hint="eastAsia" w:ascii="方正小标宋简体" w:hAnsi="方正小标宋简体" w:eastAsia="方正小标宋简体" w:cs="方正小标宋简体"/>
          <w:sz w:val="44"/>
          <w:szCs w:val="44"/>
        </w:rPr>
        <w:t>被征收各类住宅材料费补贴单价表</w:t>
      </w:r>
    </w:p>
    <w:p>
      <w:pPr>
        <w:spacing w:line="579" w:lineRule="exact"/>
        <w:jc w:val="right"/>
        <w:rPr>
          <w:rStyle w:val="10"/>
          <w:rFonts w:ascii="仿宋_GB2312" w:hAnsi="仿宋_GB2312" w:eastAsia="仿宋_GB2312" w:cs="仿宋_GB2312"/>
          <w:sz w:val="30"/>
          <w:szCs w:val="30"/>
        </w:rPr>
      </w:pPr>
      <w:r>
        <w:rPr>
          <w:rStyle w:val="10"/>
          <w:rFonts w:hint="eastAsia" w:ascii="仿宋_GB2312" w:hAnsi="仿宋_GB2312" w:eastAsia="仿宋_GB2312" w:cs="仿宋_GB2312"/>
          <w:sz w:val="30"/>
          <w:szCs w:val="30"/>
        </w:rPr>
        <w:t>单位：元/㎡</w:t>
      </w:r>
    </w:p>
    <w:tbl>
      <w:tblPr>
        <w:tblStyle w:val="6"/>
        <w:tblpPr w:leftFromText="180" w:rightFromText="180" w:vertAnchor="text" w:horzAnchor="page" w:tblpXSpec="center" w:tblpY="124"/>
        <w:tblOverlap w:val="never"/>
        <w:tblW w:w="992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19"/>
        <w:gridCol w:w="2401"/>
        <w:gridCol w:w="2199"/>
        <w:gridCol w:w="26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jc w:val="center"/>
        </w:trPr>
        <w:tc>
          <w:tcPr>
            <w:tcW w:w="2719" w:type="dxa"/>
            <w:vAlign w:val="center"/>
          </w:tcPr>
          <w:p>
            <w:pPr>
              <w:spacing w:line="579" w:lineRule="exact"/>
              <w:jc w:val="left"/>
              <w:rPr>
                <w:rStyle w:val="10"/>
                <w:rFonts w:ascii="黑体" w:hAnsi="黑体" w:eastAsia="黑体" w:cs="黑体"/>
                <w:kern w:val="0"/>
                <w:sz w:val="30"/>
                <w:szCs w:val="30"/>
              </w:rPr>
            </w:pPr>
            <w:r>
              <w:rPr>
                <w:rFonts w:hint="eastAsia" w:ascii="黑体" w:hAnsi="黑体" w:eastAsia="黑体" w:cs="黑体"/>
                <w:sz w:val="30"/>
              </w:rPr>
              <mc:AlternateContent>
                <mc:Choice Requires="wps">
                  <w:drawing>
                    <wp:anchor distT="0" distB="0" distL="114300" distR="114300" simplePos="0" relativeHeight="251663360" behindDoc="0" locked="0" layoutInCell="1" allowOverlap="1">
                      <wp:simplePos x="0" y="0"/>
                      <wp:positionH relativeFrom="column">
                        <wp:posOffset>635</wp:posOffset>
                      </wp:positionH>
                      <wp:positionV relativeFrom="paragraph">
                        <wp:posOffset>29845</wp:posOffset>
                      </wp:positionV>
                      <wp:extent cx="1733550" cy="619125"/>
                      <wp:effectExtent l="1905" t="4445" r="17145" b="5080"/>
                      <wp:wrapNone/>
                      <wp:docPr id="3" name="直线 24"/>
                      <wp:cNvGraphicFramePr/>
                      <a:graphic xmlns:a="http://schemas.openxmlformats.org/drawingml/2006/main">
                        <a:graphicData uri="http://schemas.microsoft.com/office/word/2010/wordprocessingShape">
                          <wps:wsp>
                            <wps:cNvCnPr/>
                            <wps:spPr>
                              <a:xfrm>
                                <a:off x="637540" y="7690485"/>
                                <a:ext cx="1733550" cy="61912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24" o:spid="_x0000_s1026" o:spt="20" style="position:absolute;left:0pt;margin-left:0.05pt;margin-top:2.35pt;height:48.75pt;width:136.5pt;z-index:251663360;mso-width-relative:page;mso-height-relative:page;" filled="f" stroked="t" coordsize="21600,21600" o:gfxdata="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wX+B/TAAAABgEAAA8AAAAAAAAAAQAgAAAAIgAAAGRycy9kb3ducmV2LnhtbFBLAQIUABQAAAAI&#10;AIdO4kB1+xnC8gEAAOADAAAOAAAAAAAAAAEAIAAAACIBAABkcnMvZTJvRG9jLnhtbFBLBQYAAAAA&#10;BgAGAFkBAACGBQAAAAA=&#10;">
                      <v:fill on="f" focussize="0,0"/>
                      <v:stroke color="#000000" joinstyle="round"/>
                      <v:imagedata o:title=""/>
                      <o:lock v:ext="edit" aspectratio="f"/>
                    </v:line>
                  </w:pict>
                </mc:Fallback>
              </mc:AlternateContent>
            </w:r>
            <w:r>
              <w:rPr>
                <w:rStyle w:val="10"/>
                <w:rFonts w:hint="eastAsia" w:ascii="黑体" w:hAnsi="黑体" w:eastAsia="黑体" w:cs="黑体"/>
                <w:kern w:val="0"/>
                <w:sz w:val="30"/>
                <w:szCs w:val="30"/>
              </w:rPr>
              <w:t xml:space="preserve">           结构</w:t>
            </w:r>
          </w:p>
          <w:p>
            <w:pPr>
              <w:spacing w:line="579" w:lineRule="exact"/>
              <w:jc w:val="left"/>
              <w:rPr>
                <w:rStyle w:val="10"/>
                <w:rFonts w:ascii="黑体" w:hAnsi="黑体" w:eastAsia="黑体" w:cs="黑体"/>
                <w:kern w:val="0"/>
                <w:sz w:val="30"/>
                <w:szCs w:val="30"/>
              </w:rPr>
            </w:pPr>
            <w:r>
              <w:rPr>
                <w:rStyle w:val="10"/>
                <w:rFonts w:hint="eastAsia" w:ascii="黑体" w:hAnsi="黑体" w:eastAsia="黑体" w:cs="黑体"/>
                <w:kern w:val="0"/>
                <w:sz w:val="30"/>
                <w:szCs w:val="30"/>
              </w:rPr>
              <w:t xml:space="preserve"> 装修等级</w:t>
            </w:r>
          </w:p>
        </w:tc>
        <w:tc>
          <w:tcPr>
            <w:tcW w:w="2401" w:type="dxa"/>
            <w:vAlign w:val="center"/>
          </w:tcPr>
          <w:p>
            <w:pPr>
              <w:spacing w:line="579" w:lineRule="exact"/>
              <w:jc w:val="center"/>
              <w:rPr>
                <w:rStyle w:val="10"/>
                <w:rFonts w:ascii="黑体" w:hAnsi="黑体" w:eastAsia="黑体" w:cs="黑体"/>
                <w:kern w:val="0"/>
                <w:sz w:val="30"/>
                <w:szCs w:val="30"/>
              </w:rPr>
            </w:pPr>
            <w:r>
              <w:rPr>
                <w:rStyle w:val="10"/>
                <w:rFonts w:hint="eastAsia" w:ascii="黑体" w:hAnsi="黑体" w:eastAsia="黑体" w:cs="黑体"/>
                <w:kern w:val="0"/>
                <w:sz w:val="30"/>
                <w:szCs w:val="30"/>
              </w:rPr>
              <w:t>框架</w:t>
            </w:r>
          </w:p>
        </w:tc>
        <w:tc>
          <w:tcPr>
            <w:tcW w:w="2199" w:type="dxa"/>
            <w:vAlign w:val="center"/>
          </w:tcPr>
          <w:p>
            <w:pPr>
              <w:spacing w:line="579" w:lineRule="exact"/>
              <w:jc w:val="center"/>
              <w:rPr>
                <w:rStyle w:val="10"/>
                <w:rFonts w:ascii="黑体" w:hAnsi="黑体" w:eastAsia="黑体" w:cs="黑体"/>
                <w:kern w:val="0"/>
                <w:sz w:val="30"/>
                <w:szCs w:val="30"/>
              </w:rPr>
            </w:pPr>
            <w:r>
              <w:rPr>
                <w:rStyle w:val="10"/>
                <w:rFonts w:hint="eastAsia" w:ascii="黑体" w:hAnsi="黑体" w:eastAsia="黑体" w:cs="黑体"/>
                <w:kern w:val="0"/>
                <w:sz w:val="30"/>
                <w:szCs w:val="30"/>
              </w:rPr>
              <w:t>砖混</w:t>
            </w:r>
          </w:p>
        </w:tc>
        <w:tc>
          <w:tcPr>
            <w:tcW w:w="2601" w:type="dxa"/>
            <w:vAlign w:val="center"/>
          </w:tcPr>
          <w:p>
            <w:pPr>
              <w:spacing w:line="579" w:lineRule="exact"/>
              <w:jc w:val="center"/>
              <w:rPr>
                <w:rStyle w:val="10"/>
                <w:rFonts w:ascii="黑体" w:hAnsi="黑体" w:eastAsia="黑体" w:cs="黑体"/>
                <w:kern w:val="0"/>
                <w:sz w:val="30"/>
                <w:szCs w:val="30"/>
              </w:rPr>
            </w:pPr>
            <w:r>
              <w:rPr>
                <w:rStyle w:val="10"/>
                <w:rFonts w:hint="eastAsia" w:ascii="黑体" w:hAnsi="黑体" w:eastAsia="黑体" w:cs="黑体"/>
                <w:kern w:val="0"/>
                <w:sz w:val="30"/>
                <w:szCs w:val="30"/>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719"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较好</w:t>
            </w:r>
          </w:p>
        </w:tc>
        <w:tc>
          <w:tcPr>
            <w:tcW w:w="2401"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1600</w:t>
            </w:r>
          </w:p>
        </w:tc>
        <w:tc>
          <w:tcPr>
            <w:tcW w:w="2199"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1500</w:t>
            </w:r>
          </w:p>
        </w:tc>
        <w:tc>
          <w:tcPr>
            <w:tcW w:w="2601"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1400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0" w:hRule="atLeast"/>
          <w:jc w:val="center"/>
        </w:trPr>
        <w:tc>
          <w:tcPr>
            <w:tcW w:w="2719"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一般</w:t>
            </w:r>
          </w:p>
        </w:tc>
        <w:tc>
          <w:tcPr>
            <w:tcW w:w="2401"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1500</w:t>
            </w:r>
          </w:p>
        </w:tc>
        <w:tc>
          <w:tcPr>
            <w:tcW w:w="2199"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1400</w:t>
            </w:r>
          </w:p>
        </w:tc>
        <w:tc>
          <w:tcPr>
            <w:tcW w:w="2601"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1300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6" w:hRule="atLeast"/>
          <w:jc w:val="center"/>
        </w:trPr>
        <w:tc>
          <w:tcPr>
            <w:tcW w:w="2719"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主体无装修</w:t>
            </w:r>
          </w:p>
        </w:tc>
        <w:tc>
          <w:tcPr>
            <w:tcW w:w="2401"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1400</w:t>
            </w:r>
          </w:p>
        </w:tc>
        <w:tc>
          <w:tcPr>
            <w:tcW w:w="2199"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1300</w:t>
            </w:r>
          </w:p>
        </w:tc>
        <w:tc>
          <w:tcPr>
            <w:tcW w:w="2601"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1200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6" w:hRule="atLeast"/>
          <w:jc w:val="center"/>
        </w:trPr>
        <w:tc>
          <w:tcPr>
            <w:tcW w:w="9920" w:type="dxa"/>
            <w:gridSpan w:val="4"/>
          </w:tcPr>
          <w:p>
            <w:pPr>
              <w:spacing w:line="579" w:lineRule="exact"/>
              <w:jc w:val="left"/>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备注：材料费包含建筑用地、二次装修及建安费。</w:t>
            </w:r>
          </w:p>
        </w:tc>
      </w:tr>
    </w:tbl>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r>
        <w:rPr>
          <w:rStyle w:val="10"/>
          <w:rFonts w:hint="eastAsia" w:ascii="黑体" w:hAnsi="黑体" w:eastAsia="黑体" w:cs="黑体"/>
          <w:sz w:val="32"/>
          <w:szCs w:val="32"/>
        </w:rPr>
        <w:t>附件3</w:t>
      </w:r>
    </w:p>
    <w:p>
      <w:pPr>
        <w:spacing w:line="579" w:lineRule="exact"/>
        <w:rPr>
          <w:rStyle w:val="10"/>
          <w:rFonts w:ascii="仿宋_GB2312" w:hAnsi="仿宋_GB2312" w:eastAsia="仿宋_GB2312" w:cs="仿宋_GB2312"/>
          <w:sz w:val="32"/>
          <w:szCs w:val="32"/>
        </w:rPr>
      </w:pPr>
    </w:p>
    <w:p>
      <w:pPr>
        <w:spacing w:line="579" w:lineRule="exact"/>
        <w:jc w:val="center"/>
        <w:rPr>
          <w:rStyle w:val="10"/>
          <w:rFonts w:ascii="方正小标宋简体" w:hAnsi="方正小标宋简体" w:eastAsia="方正小标宋简体" w:cs="方正小标宋简体"/>
          <w:sz w:val="44"/>
          <w:szCs w:val="44"/>
        </w:rPr>
      </w:pPr>
      <w:r>
        <w:rPr>
          <w:rStyle w:val="10"/>
          <w:rFonts w:hint="eastAsia" w:ascii="方正小标宋简体" w:hAnsi="方正小标宋简体" w:eastAsia="方正小标宋简体" w:cs="方正小标宋简体"/>
          <w:sz w:val="44"/>
          <w:szCs w:val="44"/>
        </w:rPr>
        <w:t>企业厂房、仓库及其他配套用房补偿单价</w:t>
      </w:r>
    </w:p>
    <w:p>
      <w:pPr>
        <w:spacing w:line="579" w:lineRule="exact"/>
        <w:jc w:val="right"/>
        <w:rPr>
          <w:rStyle w:val="10"/>
          <w:rFonts w:ascii="仿宋_GB2312" w:hAnsi="仿宋_GB2312" w:eastAsia="仿宋_GB2312" w:cs="仿宋_GB2312"/>
          <w:sz w:val="30"/>
          <w:szCs w:val="30"/>
        </w:rPr>
      </w:pPr>
    </w:p>
    <w:p>
      <w:pPr>
        <w:spacing w:line="579" w:lineRule="exact"/>
        <w:jc w:val="right"/>
        <w:rPr>
          <w:rStyle w:val="10"/>
          <w:rFonts w:ascii="仿宋_GB2312" w:hAnsi="仿宋_GB2312" w:eastAsia="仿宋_GB2312" w:cs="仿宋_GB2312"/>
          <w:sz w:val="30"/>
          <w:szCs w:val="30"/>
        </w:rPr>
      </w:pPr>
      <w:r>
        <w:rPr>
          <w:rStyle w:val="10"/>
          <w:rFonts w:hint="eastAsia" w:ascii="仿宋_GB2312" w:hAnsi="仿宋_GB2312" w:eastAsia="仿宋_GB2312" w:cs="仿宋_GB2312"/>
          <w:sz w:val="30"/>
          <w:szCs w:val="30"/>
        </w:rPr>
        <w:t>单位：元/㎡</w:t>
      </w:r>
    </w:p>
    <w:tbl>
      <w:tblPr>
        <w:tblStyle w:val="6"/>
        <w:tblpPr w:leftFromText="180" w:rightFromText="180" w:vertAnchor="text" w:horzAnchor="page" w:tblpXSpec="center" w:tblpY="52"/>
        <w:tblOverlap w:val="never"/>
        <w:tblW w:w="95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56"/>
        <w:gridCol w:w="1445"/>
        <w:gridCol w:w="1445"/>
        <w:gridCol w:w="1445"/>
        <w:gridCol w:w="1445"/>
        <w:gridCol w:w="1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5" w:hRule="atLeast"/>
          <w:jc w:val="center"/>
        </w:trPr>
        <w:tc>
          <w:tcPr>
            <w:tcW w:w="2456" w:type="dxa"/>
            <w:vAlign w:val="center"/>
          </w:tcPr>
          <w:p>
            <w:pPr>
              <w:spacing w:line="579" w:lineRule="exact"/>
              <w:jc w:val="center"/>
              <w:rPr>
                <w:rStyle w:val="10"/>
                <w:rFonts w:ascii="黑体" w:hAnsi="黑体" w:eastAsia="黑体" w:cs="黑体"/>
                <w:kern w:val="0"/>
                <w:sz w:val="30"/>
                <w:szCs w:val="30"/>
              </w:rPr>
            </w:pPr>
            <w:r>
              <w:rPr>
                <w:rFonts w:hint="eastAsia" w:ascii="黑体" w:hAnsi="黑体" w:eastAsia="黑体" w:cs="黑体"/>
                <w:sz w:val="30"/>
              </w:rPr>
              <mc:AlternateContent>
                <mc:Choice Requires="wps">
                  <w:drawing>
                    <wp:anchor distT="0" distB="0" distL="114300" distR="114300" simplePos="0" relativeHeight="251664384" behindDoc="0" locked="0" layoutInCell="1" allowOverlap="1">
                      <wp:simplePos x="0" y="0"/>
                      <wp:positionH relativeFrom="column">
                        <wp:posOffset>-22225</wp:posOffset>
                      </wp:positionH>
                      <wp:positionV relativeFrom="paragraph">
                        <wp:posOffset>19685</wp:posOffset>
                      </wp:positionV>
                      <wp:extent cx="1535430" cy="705485"/>
                      <wp:effectExtent l="1905" t="4445" r="1905" b="6350"/>
                      <wp:wrapNone/>
                      <wp:docPr id="4" name="直线 26"/>
                      <wp:cNvGraphicFramePr/>
                      <a:graphic xmlns:a="http://schemas.openxmlformats.org/drawingml/2006/main">
                        <a:graphicData uri="http://schemas.microsoft.com/office/word/2010/wordprocessingShape">
                          <wps:wsp>
                            <wps:cNvCnPr/>
                            <wps:spPr>
                              <a:xfrm>
                                <a:off x="770890" y="2152650"/>
                                <a:ext cx="1535430" cy="70548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26" o:spid="_x0000_s1026" o:spt="20" style="position:absolute;left:0pt;margin-left:-1.75pt;margin-top:1.55pt;height:55.55pt;width:120.9pt;z-index:251664384;mso-width-relative:page;mso-height-relative:page;" filled="f" stroked="t" coordsize="21600,21600" o:gfxdata="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j6n4KNcAAAAIAQAADwAAAAAAAAABACAAAAAiAAAAZHJzL2Rvd25yZXYueG1sUEsBAhQAFAAA&#10;AAgAh07iQKOmmULwAQAA4AMAAA4AAAAAAAAAAQAgAAAAJgEAAGRycy9lMm9Eb2MueG1sUEsFBgAA&#10;AAAGAAYAWQEAAIgFAAAAAA==&#10;">
                      <v:fill on="f" focussize="0,0"/>
                      <v:stroke color="#000000" joinstyle="round"/>
                      <v:imagedata o:title=""/>
                      <o:lock v:ext="edit" aspectratio="f"/>
                    </v:line>
                  </w:pict>
                </mc:Fallback>
              </mc:AlternateContent>
            </w:r>
            <w:r>
              <w:rPr>
                <w:rStyle w:val="10"/>
                <w:rFonts w:hint="eastAsia" w:ascii="黑体" w:hAnsi="黑体" w:eastAsia="黑体" w:cs="黑体"/>
                <w:kern w:val="0"/>
                <w:sz w:val="30"/>
                <w:szCs w:val="30"/>
              </w:rPr>
              <w:t xml:space="preserve">        建筑结构</w:t>
            </w:r>
          </w:p>
          <w:p>
            <w:pPr>
              <w:spacing w:line="579" w:lineRule="exact"/>
              <w:rPr>
                <w:rStyle w:val="10"/>
                <w:rFonts w:ascii="黑体" w:hAnsi="黑体" w:eastAsia="黑体" w:cs="黑体"/>
                <w:kern w:val="0"/>
                <w:sz w:val="30"/>
                <w:szCs w:val="30"/>
              </w:rPr>
            </w:pPr>
            <w:r>
              <w:rPr>
                <w:rStyle w:val="10"/>
                <w:rFonts w:hint="eastAsia" w:ascii="黑体" w:hAnsi="黑体" w:eastAsia="黑体" w:cs="黑体"/>
                <w:kern w:val="0"/>
                <w:sz w:val="30"/>
                <w:szCs w:val="30"/>
              </w:rPr>
              <w:t>装修等级</w:t>
            </w:r>
          </w:p>
        </w:tc>
        <w:tc>
          <w:tcPr>
            <w:tcW w:w="1445" w:type="dxa"/>
            <w:vAlign w:val="center"/>
          </w:tcPr>
          <w:p>
            <w:pPr>
              <w:spacing w:line="579" w:lineRule="exact"/>
              <w:jc w:val="center"/>
              <w:rPr>
                <w:rStyle w:val="10"/>
                <w:rFonts w:ascii="黑体" w:hAnsi="黑体" w:eastAsia="黑体" w:cs="黑体"/>
                <w:kern w:val="0"/>
                <w:sz w:val="30"/>
                <w:szCs w:val="30"/>
              </w:rPr>
            </w:pPr>
            <w:r>
              <w:rPr>
                <w:rStyle w:val="10"/>
                <w:rFonts w:hint="eastAsia" w:ascii="黑体" w:hAnsi="黑体" w:eastAsia="黑体" w:cs="黑体"/>
                <w:kern w:val="0"/>
                <w:sz w:val="30"/>
                <w:szCs w:val="30"/>
              </w:rPr>
              <w:t>框架</w:t>
            </w:r>
          </w:p>
        </w:tc>
        <w:tc>
          <w:tcPr>
            <w:tcW w:w="1445" w:type="dxa"/>
            <w:vAlign w:val="center"/>
          </w:tcPr>
          <w:p>
            <w:pPr>
              <w:spacing w:line="579" w:lineRule="exact"/>
              <w:jc w:val="center"/>
              <w:rPr>
                <w:rStyle w:val="10"/>
                <w:rFonts w:ascii="黑体" w:hAnsi="黑体" w:eastAsia="黑体" w:cs="黑体"/>
                <w:kern w:val="0"/>
                <w:sz w:val="30"/>
                <w:szCs w:val="30"/>
              </w:rPr>
            </w:pPr>
            <w:r>
              <w:rPr>
                <w:rStyle w:val="10"/>
                <w:rFonts w:hint="eastAsia" w:ascii="黑体" w:hAnsi="黑体" w:eastAsia="黑体" w:cs="黑体"/>
                <w:kern w:val="0"/>
                <w:sz w:val="30"/>
                <w:szCs w:val="30"/>
              </w:rPr>
              <w:t>砖石混</w:t>
            </w:r>
          </w:p>
        </w:tc>
        <w:tc>
          <w:tcPr>
            <w:tcW w:w="1445" w:type="dxa"/>
            <w:vAlign w:val="center"/>
          </w:tcPr>
          <w:p>
            <w:pPr>
              <w:spacing w:line="579" w:lineRule="exact"/>
              <w:jc w:val="center"/>
              <w:rPr>
                <w:rStyle w:val="10"/>
                <w:rFonts w:ascii="黑体" w:hAnsi="黑体" w:eastAsia="黑体" w:cs="黑体"/>
                <w:kern w:val="0"/>
                <w:sz w:val="30"/>
                <w:szCs w:val="30"/>
              </w:rPr>
            </w:pPr>
            <w:r>
              <w:rPr>
                <w:rStyle w:val="10"/>
                <w:rFonts w:hint="eastAsia" w:ascii="黑体" w:hAnsi="黑体" w:eastAsia="黑体" w:cs="黑体"/>
                <w:kern w:val="0"/>
                <w:sz w:val="30"/>
                <w:szCs w:val="30"/>
              </w:rPr>
              <w:t>砖木</w:t>
            </w:r>
          </w:p>
        </w:tc>
        <w:tc>
          <w:tcPr>
            <w:tcW w:w="1445" w:type="dxa"/>
            <w:vAlign w:val="center"/>
          </w:tcPr>
          <w:p>
            <w:pPr>
              <w:spacing w:line="579" w:lineRule="exact"/>
              <w:jc w:val="center"/>
              <w:rPr>
                <w:rStyle w:val="10"/>
                <w:rFonts w:ascii="黑体" w:hAnsi="黑体" w:eastAsia="黑体" w:cs="黑体"/>
                <w:kern w:val="0"/>
                <w:sz w:val="30"/>
                <w:szCs w:val="30"/>
              </w:rPr>
            </w:pPr>
            <w:r>
              <w:rPr>
                <w:rStyle w:val="10"/>
                <w:rFonts w:hint="eastAsia" w:ascii="黑体" w:hAnsi="黑体" w:eastAsia="黑体" w:cs="黑体"/>
                <w:kern w:val="0"/>
                <w:sz w:val="30"/>
                <w:szCs w:val="30"/>
              </w:rPr>
              <w:t>土木</w:t>
            </w:r>
          </w:p>
        </w:tc>
        <w:tc>
          <w:tcPr>
            <w:tcW w:w="1264" w:type="dxa"/>
            <w:vAlign w:val="center"/>
          </w:tcPr>
          <w:p>
            <w:pPr>
              <w:spacing w:line="579" w:lineRule="exact"/>
              <w:jc w:val="center"/>
              <w:rPr>
                <w:rStyle w:val="10"/>
                <w:rFonts w:ascii="黑体" w:hAnsi="黑体" w:eastAsia="黑体" w:cs="黑体"/>
                <w:kern w:val="0"/>
                <w:sz w:val="30"/>
                <w:szCs w:val="30"/>
              </w:rPr>
            </w:pPr>
            <w:r>
              <w:rPr>
                <w:rStyle w:val="10"/>
                <w:rFonts w:hint="eastAsia" w:ascii="黑体" w:hAnsi="黑体" w:eastAsia="黑体" w:cs="黑体"/>
                <w:kern w:val="0"/>
                <w:sz w:val="30"/>
                <w:szCs w:val="30"/>
              </w:rPr>
              <w:t>钢结构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2456"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较好</w:t>
            </w:r>
          </w:p>
        </w:tc>
        <w:tc>
          <w:tcPr>
            <w:tcW w:w="1445"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1400</w:t>
            </w:r>
          </w:p>
        </w:tc>
        <w:tc>
          <w:tcPr>
            <w:tcW w:w="1445"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1280</w:t>
            </w:r>
          </w:p>
        </w:tc>
        <w:tc>
          <w:tcPr>
            <w:tcW w:w="1445"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900</w:t>
            </w:r>
          </w:p>
        </w:tc>
        <w:tc>
          <w:tcPr>
            <w:tcW w:w="1445"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850</w:t>
            </w:r>
          </w:p>
        </w:tc>
        <w:tc>
          <w:tcPr>
            <w:tcW w:w="1264"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750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5" w:hRule="atLeast"/>
          <w:jc w:val="center"/>
        </w:trPr>
        <w:tc>
          <w:tcPr>
            <w:tcW w:w="2456"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一般</w:t>
            </w:r>
          </w:p>
        </w:tc>
        <w:tc>
          <w:tcPr>
            <w:tcW w:w="1445"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1250</w:t>
            </w:r>
          </w:p>
        </w:tc>
        <w:tc>
          <w:tcPr>
            <w:tcW w:w="1445"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1150</w:t>
            </w:r>
          </w:p>
        </w:tc>
        <w:tc>
          <w:tcPr>
            <w:tcW w:w="1445"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750</w:t>
            </w:r>
          </w:p>
        </w:tc>
        <w:tc>
          <w:tcPr>
            <w:tcW w:w="1445"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700</w:t>
            </w:r>
          </w:p>
        </w:tc>
        <w:tc>
          <w:tcPr>
            <w:tcW w:w="1264"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650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2456"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主体无装修</w:t>
            </w:r>
          </w:p>
        </w:tc>
        <w:tc>
          <w:tcPr>
            <w:tcW w:w="1445"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1050</w:t>
            </w:r>
          </w:p>
        </w:tc>
        <w:tc>
          <w:tcPr>
            <w:tcW w:w="1445"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1000</w:t>
            </w:r>
          </w:p>
        </w:tc>
        <w:tc>
          <w:tcPr>
            <w:tcW w:w="1445"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650</w:t>
            </w:r>
          </w:p>
        </w:tc>
        <w:tc>
          <w:tcPr>
            <w:tcW w:w="1445"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600</w:t>
            </w:r>
          </w:p>
        </w:tc>
        <w:tc>
          <w:tcPr>
            <w:tcW w:w="1264"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400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93" w:hRule="atLeast"/>
          <w:jc w:val="center"/>
        </w:trPr>
        <w:tc>
          <w:tcPr>
            <w:tcW w:w="9500" w:type="dxa"/>
            <w:gridSpan w:val="6"/>
            <w:vAlign w:val="center"/>
          </w:tcPr>
          <w:p>
            <w:pPr>
              <w:spacing w:line="579" w:lineRule="exact"/>
              <w:jc w:val="left"/>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备注：</w:t>
            </w:r>
          </w:p>
          <w:p>
            <w:pPr>
              <w:spacing w:line="579" w:lineRule="exact"/>
              <w:jc w:val="left"/>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 xml:space="preserve">    1.钢结构的认定标准：承重柱应是混凝土柱或钢管柱、工字钢、槽钢立柱，机砖或空心砖围护墙，屋面为彩钢板，跨度8米以上，跨度超过8米，每增加5米按房屋补偿价增加5％给予补偿。</w:t>
            </w:r>
          </w:p>
          <w:p>
            <w:pPr>
              <w:spacing w:line="579" w:lineRule="exact"/>
              <w:jc w:val="left"/>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 xml:space="preserve">    2.厂房层高超过4米的，超过部分，按房屋补偿价增加5％给予补偿（详见附件表三）｛公式：〔（实际高度-4米）×5%）×补偿单价〕｝。层高计算从室内地面至檐口计算高度。</w:t>
            </w:r>
          </w:p>
        </w:tc>
      </w:tr>
    </w:tbl>
    <w:p>
      <w:pPr>
        <w:spacing w:line="579" w:lineRule="exact"/>
        <w:rPr>
          <w:rStyle w:val="10"/>
          <w:rFonts w:ascii="仿宋_GB2312" w:hAnsi="仿宋_GB2312" w:eastAsia="仿宋_GB2312" w:cs="仿宋_GB2312"/>
          <w:sz w:val="30"/>
          <w:szCs w:val="30"/>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r>
        <w:rPr>
          <w:rStyle w:val="10"/>
          <w:rFonts w:hint="eastAsia" w:ascii="黑体" w:hAnsi="黑体" w:eastAsia="黑体" w:cs="黑体"/>
          <w:sz w:val="32"/>
          <w:szCs w:val="32"/>
        </w:rPr>
        <w:t>附件4</w:t>
      </w:r>
    </w:p>
    <w:p>
      <w:pPr>
        <w:spacing w:line="579" w:lineRule="exact"/>
        <w:rPr>
          <w:rStyle w:val="10"/>
          <w:rFonts w:ascii="仿宋_GB2312" w:hAnsi="仿宋_GB2312" w:eastAsia="仿宋_GB2312" w:cs="仿宋_GB2312"/>
          <w:b/>
          <w:sz w:val="36"/>
          <w:szCs w:val="36"/>
        </w:rPr>
      </w:pPr>
    </w:p>
    <w:p>
      <w:pPr>
        <w:spacing w:line="579" w:lineRule="exact"/>
        <w:jc w:val="center"/>
        <w:rPr>
          <w:rStyle w:val="10"/>
          <w:rFonts w:ascii="方正小标宋简体" w:hAnsi="方正小标宋简体" w:eastAsia="方正小标宋简体" w:cs="方正小标宋简体"/>
          <w:sz w:val="44"/>
          <w:szCs w:val="44"/>
        </w:rPr>
      </w:pPr>
      <w:r>
        <w:rPr>
          <w:rStyle w:val="10"/>
          <w:rFonts w:hint="eastAsia" w:ascii="方正小标宋简体" w:hAnsi="方正小标宋简体" w:eastAsia="方正小标宋简体" w:cs="方正小标宋简体"/>
          <w:sz w:val="44"/>
          <w:szCs w:val="44"/>
        </w:rPr>
        <w:t>搬迁补助费和临时过渡补助费标准</w:t>
      </w:r>
    </w:p>
    <w:p>
      <w:pPr>
        <w:spacing w:line="579" w:lineRule="exact"/>
        <w:jc w:val="center"/>
        <w:rPr>
          <w:rStyle w:val="10"/>
          <w:rFonts w:ascii="仿宋_GB2312" w:hAnsi="仿宋_GB2312" w:eastAsia="仿宋_GB2312" w:cs="仿宋_GB2312"/>
          <w:sz w:val="44"/>
          <w:szCs w:val="44"/>
        </w:rPr>
      </w:pPr>
    </w:p>
    <w:tbl>
      <w:tblPr>
        <w:tblStyle w:val="6"/>
        <w:tblpPr w:leftFromText="180" w:rightFromText="180" w:vertAnchor="text" w:horzAnchor="page" w:tblpXSpec="center" w:tblpY="131"/>
        <w:tblOverlap w:val="never"/>
        <w:tblW w:w="94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63"/>
        <w:gridCol w:w="1646"/>
        <w:gridCol w:w="2193"/>
        <w:gridCol w:w="1645"/>
        <w:gridCol w:w="25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23" w:hRule="atLeast"/>
          <w:jc w:val="center"/>
        </w:trPr>
        <w:tc>
          <w:tcPr>
            <w:tcW w:w="1463" w:type="dxa"/>
            <w:vMerge w:val="restart"/>
            <w:vAlign w:val="center"/>
          </w:tcPr>
          <w:p>
            <w:pPr>
              <w:spacing w:line="579" w:lineRule="exact"/>
              <w:jc w:val="center"/>
              <w:rPr>
                <w:rStyle w:val="10"/>
                <w:rFonts w:ascii="仿宋_GB2312" w:hAnsi="仿宋_GB2312" w:eastAsia="仿宋_GB2312" w:cs="仿宋_GB2312"/>
                <w:b/>
                <w:bCs/>
                <w:kern w:val="0"/>
                <w:sz w:val="30"/>
                <w:szCs w:val="30"/>
              </w:rPr>
            </w:pPr>
            <w:r>
              <w:rPr>
                <w:rStyle w:val="10"/>
                <w:rFonts w:hint="eastAsia" w:ascii="仿宋_GB2312" w:hAnsi="仿宋_GB2312" w:eastAsia="仿宋_GB2312" w:cs="仿宋_GB2312"/>
                <w:b/>
                <w:bCs/>
                <w:kern w:val="0"/>
                <w:sz w:val="30"/>
                <w:szCs w:val="30"/>
              </w:rPr>
              <w:t>项目</w:t>
            </w:r>
          </w:p>
        </w:tc>
        <w:tc>
          <w:tcPr>
            <w:tcW w:w="5484" w:type="dxa"/>
            <w:gridSpan w:val="3"/>
            <w:vAlign w:val="center"/>
          </w:tcPr>
          <w:p>
            <w:pPr>
              <w:spacing w:line="579" w:lineRule="exact"/>
              <w:jc w:val="center"/>
              <w:rPr>
                <w:rStyle w:val="10"/>
                <w:rFonts w:ascii="仿宋_GB2312" w:hAnsi="仿宋_GB2312" w:eastAsia="仿宋_GB2312" w:cs="仿宋_GB2312"/>
                <w:b/>
                <w:bCs/>
                <w:kern w:val="0"/>
                <w:sz w:val="30"/>
                <w:szCs w:val="30"/>
              </w:rPr>
            </w:pPr>
            <w:r>
              <w:rPr>
                <w:rStyle w:val="10"/>
                <w:rFonts w:hint="eastAsia" w:ascii="仿宋_GB2312" w:hAnsi="仿宋_GB2312" w:eastAsia="仿宋_GB2312" w:cs="仿宋_GB2312"/>
                <w:b/>
                <w:bCs/>
                <w:kern w:val="0"/>
                <w:sz w:val="30"/>
                <w:szCs w:val="30"/>
              </w:rPr>
              <w:t>搬迁补助费（元/㎡·次）</w:t>
            </w:r>
          </w:p>
        </w:tc>
        <w:tc>
          <w:tcPr>
            <w:tcW w:w="2513" w:type="dxa"/>
            <w:vMerge w:val="restart"/>
            <w:vAlign w:val="center"/>
          </w:tcPr>
          <w:p>
            <w:pPr>
              <w:spacing w:line="579" w:lineRule="exact"/>
              <w:jc w:val="center"/>
              <w:rPr>
                <w:rStyle w:val="10"/>
                <w:rFonts w:ascii="仿宋_GB2312" w:hAnsi="仿宋_GB2312" w:eastAsia="仿宋_GB2312" w:cs="仿宋_GB2312"/>
                <w:b/>
                <w:bCs/>
                <w:kern w:val="0"/>
                <w:sz w:val="30"/>
                <w:szCs w:val="30"/>
              </w:rPr>
            </w:pPr>
            <w:r>
              <w:rPr>
                <w:rStyle w:val="10"/>
                <w:rFonts w:hint="eastAsia" w:ascii="仿宋_GB2312" w:hAnsi="仿宋_GB2312" w:eastAsia="仿宋_GB2312" w:cs="仿宋_GB2312"/>
                <w:b/>
                <w:bCs/>
                <w:kern w:val="0"/>
                <w:sz w:val="30"/>
                <w:szCs w:val="30"/>
              </w:rPr>
              <w:t>临时过渡补助费（元/㎡·月）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23" w:hRule="atLeast"/>
          <w:jc w:val="center"/>
        </w:trPr>
        <w:tc>
          <w:tcPr>
            <w:tcW w:w="1463" w:type="dxa"/>
            <w:vMerge w:val="continue"/>
            <w:vAlign w:val="center"/>
          </w:tcPr>
          <w:p>
            <w:pPr>
              <w:spacing w:line="579" w:lineRule="exact"/>
              <w:jc w:val="center"/>
              <w:rPr>
                <w:rStyle w:val="10"/>
                <w:rFonts w:ascii="仿宋_GB2312" w:hAnsi="仿宋_GB2312" w:eastAsia="仿宋_GB2312" w:cs="仿宋_GB2312"/>
                <w:kern w:val="0"/>
                <w:sz w:val="30"/>
                <w:szCs w:val="30"/>
              </w:rPr>
            </w:pPr>
          </w:p>
        </w:tc>
        <w:tc>
          <w:tcPr>
            <w:tcW w:w="1646" w:type="dxa"/>
            <w:vAlign w:val="center"/>
          </w:tcPr>
          <w:p>
            <w:pPr>
              <w:spacing w:line="579" w:lineRule="exact"/>
              <w:jc w:val="center"/>
              <w:rPr>
                <w:rStyle w:val="10"/>
                <w:rFonts w:ascii="仿宋_GB2312" w:hAnsi="仿宋_GB2312" w:eastAsia="仿宋_GB2312" w:cs="仿宋_GB2312"/>
                <w:b/>
                <w:bCs/>
                <w:kern w:val="0"/>
                <w:sz w:val="30"/>
                <w:szCs w:val="30"/>
              </w:rPr>
            </w:pPr>
            <w:r>
              <w:rPr>
                <w:rStyle w:val="10"/>
                <w:rFonts w:hint="eastAsia" w:ascii="仿宋_GB2312" w:hAnsi="仿宋_GB2312" w:eastAsia="仿宋_GB2312" w:cs="仿宋_GB2312"/>
                <w:b/>
                <w:bCs/>
                <w:kern w:val="0"/>
                <w:sz w:val="30"/>
                <w:szCs w:val="30"/>
              </w:rPr>
              <w:t>住宅</w:t>
            </w:r>
          </w:p>
        </w:tc>
        <w:tc>
          <w:tcPr>
            <w:tcW w:w="2193" w:type="dxa"/>
            <w:vAlign w:val="center"/>
          </w:tcPr>
          <w:p>
            <w:pPr>
              <w:spacing w:line="579" w:lineRule="exact"/>
              <w:jc w:val="center"/>
              <w:rPr>
                <w:rStyle w:val="10"/>
                <w:rFonts w:ascii="仿宋_GB2312" w:hAnsi="仿宋_GB2312" w:eastAsia="仿宋_GB2312" w:cs="仿宋_GB2312"/>
                <w:b/>
                <w:bCs/>
                <w:kern w:val="0"/>
                <w:sz w:val="30"/>
                <w:szCs w:val="30"/>
              </w:rPr>
            </w:pPr>
            <w:r>
              <w:rPr>
                <w:rStyle w:val="10"/>
                <w:rFonts w:hint="eastAsia" w:ascii="仿宋_GB2312" w:hAnsi="仿宋_GB2312" w:eastAsia="仿宋_GB2312" w:cs="仿宋_GB2312"/>
                <w:b/>
                <w:bCs/>
                <w:kern w:val="0"/>
                <w:sz w:val="30"/>
                <w:szCs w:val="30"/>
              </w:rPr>
              <w:t>经营性用房</w:t>
            </w:r>
          </w:p>
        </w:tc>
        <w:tc>
          <w:tcPr>
            <w:tcW w:w="1645" w:type="dxa"/>
            <w:vAlign w:val="center"/>
          </w:tcPr>
          <w:p>
            <w:pPr>
              <w:spacing w:line="579" w:lineRule="exact"/>
              <w:jc w:val="center"/>
              <w:rPr>
                <w:rStyle w:val="10"/>
                <w:rFonts w:ascii="仿宋_GB2312" w:hAnsi="仿宋_GB2312" w:eastAsia="仿宋_GB2312" w:cs="仿宋_GB2312"/>
                <w:b/>
                <w:bCs/>
                <w:kern w:val="0"/>
                <w:sz w:val="30"/>
                <w:szCs w:val="30"/>
              </w:rPr>
            </w:pPr>
            <w:r>
              <w:rPr>
                <w:rStyle w:val="10"/>
                <w:rFonts w:hint="eastAsia" w:ascii="仿宋_GB2312" w:hAnsi="仿宋_GB2312" w:eastAsia="仿宋_GB2312" w:cs="仿宋_GB2312"/>
                <w:b/>
                <w:bCs/>
                <w:kern w:val="0"/>
                <w:sz w:val="30"/>
                <w:szCs w:val="30"/>
              </w:rPr>
              <w:t>工厂仓库</w:t>
            </w:r>
          </w:p>
        </w:tc>
        <w:tc>
          <w:tcPr>
            <w:tcW w:w="2513" w:type="dxa"/>
            <w:vMerge w:val="continue"/>
            <w:vAlign w:val="center"/>
          </w:tcPr>
          <w:p>
            <w:pPr>
              <w:spacing w:line="579" w:lineRule="exact"/>
              <w:jc w:val="center"/>
              <w:rPr>
                <w:rStyle w:val="10"/>
                <w:rFonts w:ascii="仿宋_GB2312" w:hAnsi="仿宋_GB2312" w:eastAsia="仿宋_GB2312" w:cs="仿宋_GB2312"/>
                <w:kern w:val="0"/>
                <w:sz w:val="30"/>
                <w:szCs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23" w:hRule="atLeast"/>
          <w:jc w:val="center"/>
        </w:trPr>
        <w:tc>
          <w:tcPr>
            <w:tcW w:w="1463" w:type="dxa"/>
            <w:vMerge w:val="restart"/>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标准</w:t>
            </w:r>
          </w:p>
        </w:tc>
        <w:tc>
          <w:tcPr>
            <w:tcW w:w="1646" w:type="dxa"/>
            <w:vMerge w:val="restart"/>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5</w:t>
            </w:r>
          </w:p>
        </w:tc>
        <w:tc>
          <w:tcPr>
            <w:tcW w:w="2193" w:type="dxa"/>
            <w:vMerge w:val="restart"/>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6</w:t>
            </w:r>
          </w:p>
        </w:tc>
        <w:tc>
          <w:tcPr>
            <w:tcW w:w="1645" w:type="dxa"/>
            <w:vMerge w:val="restart"/>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6</w:t>
            </w:r>
          </w:p>
        </w:tc>
        <w:tc>
          <w:tcPr>
            <w:tcW w:w="2513"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住宅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33" w:hRule="atLeast"/>
          <w:jc w:val="center"/>
        </w:trPr>
        <w:tc>
          <w:tcPr>
            <w:tcW w:w="1463" w:type="dxa"/>
            <w:vMerge w:val="continue"/>
            <w:vAlign w:val="center"/>
          </w:tcPr>
          <w:p>
            <w:pPr>
              <w:spacing w:line="579" w:lineRule="exact"/>
              <w:jc w:val="center"/>
              <w:rPr>
                <w:rStyle w:val="10"/>
                <w:rFonts w:ascii="仿宋_GB2312" w:hAnsi="仿宋_GB2312" w:eastAsia="仿宋_GB2312" w:cs="仿宋_GB2312"/>
                <w:kern w:val="0"/>
                <w:sz w:val="30"/>
                <w:szCs w:val="30"/>
              </w:rPr>
            </w:pPr>
          </w:p>
        </w:tc>
        <w:tc>
          <w:tcPr>
            <w:tcW w:w="1646" w:type="dxa"/>
            <w:vMerge w:val="continue"/>
            <w:vAlign w:val="center"/>
          </w:tcPr>
          <w:p>
            <w:pPr>
              <w:spacing w:line="579" w:lineRule="exact"/>
              <w:jc w:val="center"/>
              <w:rPr>
                <w:rStyle w:val="10"/>
                <w:rFonts w:ascii="仿宋_GB2312" w:hAnsi="仿宋_GB2312" w:eastAsia="仿宋_GB2312" w:cs="仿宋_GB2312"/>
                <w:kern w:val="0"/>
                <w:sz w:val="30"/>
                <w:szCs w:val="30"/>
              </w:rPr>
            </w:pPr>
          </w:p>
        </w:tc>
        <w:tc>
          <w:tcPr>
            <w:tcW w:w="2193" w:type="dxa"/>
            <w:vMerge w:val="continue"/>
            <w:vAlign w:val="center"/>
          </w:tcPr>
          <w:p>
            <w:pPr>
              <w:spacing w:line="579" w:lineRule="exact"/>
              <w:jc w:val="center"/>
              <w:rPr>
                <w:rStyle w:val="10"/>
                <w:rFonts w:ascii="仿宋_GB2312" w:hAnsi="仿宋_GB2312" w:eastAsia="仿宋_GB2312" w:cs="仿宋_GB2312"/>
                <w:kern w:val="0"/>
                <w:sz w:val="30"/>
                <w:szCs w:val="30"/>
              </w:rPr>
            </w:pPr>
          </w:p>
        </w:tc>
        <w:tc>
          <w:tcPr>
            <w:tcW w:w="1645" w:type="dxa"/>
            <w:vMerge w:val="continue"/>
            <w:vAlign w:val="center"/>
          </w:tcPr>
          <w:p>
            <w:pPr>
              <w:spacing w:line="579" w:lineRule="exact"/>
              <w:jc w:val="center"/>
              <w:rPr>
                <w:rStyle w:val="10"/>
                <w:rFonts w:ascii="仿宋_GB2312" w:hAnsi="仿宋_GB2312" w:eastAsia="仿宋_GB2312" w:cs="仿宋_GB2312"/>
                <w:kern w:val="0"/>
                <w:sz w:val="30"/>
                <w:szCs w:val="30"/>
              </w:rPr>
            </w:pPr>
          </w:p>
        </w:tc>
        <w:tc>
          <w:tcPr>
            <w:tcW w:w="2513" w:type="dxa"/>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8</w:t>
            </w:r>
          </w:p>
        </w:tc>
      </w:tr>
    </w:tbl>
    <w:p>
      <w:pPr>
        <w:spacing w:line="579" w:lineRule="exact"/>
        <w:rPr>
          <w:rStyle w:val="10"/>
          <w:rFonts w:ascii="仿宋_GB2312" w:hAnsi="仿宋_GB2312" w:eastAsia="仿宋_GB2312" w:cs="仿宋_GB2312"/>
          <w:sz w:val="32"/>
          <w:szCs w:val="32"/>
        </w:rPr>
      </w:pPr>
    </w:p>
    <w:p>
      <w:pPr>
        <w:spacing w:line="579" w:lineRule="exact"/>
        <w:rPr>
          <w:rStyle w:val="10"/>
          <w:rFonts w:ascii="仿宋_GB2312" w:hAnsi="仿宋_GB2312" w:eastAsia="仿宋_GB2312" w:cs="仿宋_GB2312"/>
          <w:sz w:val="32"/>
          <w:szCs w:val="32"/>
        </w:rPr>
      </w:pPr>
    </w:p>
    <w:p>
      <w:pPr>
        <w:spacing w:line="579" w:lineRule="exact"/>
        <w:rPr>
          <w:rStyle w:val="10"/>
          <w:rFonts w:ascii="仿宋_GB2312" w:hAnsi="仿宋_GB2312" w:eastAsia="仿宋_GB2312" w:cs="仿宋_GB2312"/>
          <w:sz w:val="32"/>
          <w:szCs w:val="32"/>
        </w:rPr>
      </w:pPr>
    </w:p>
    <w:p>
      <w:pPr>
        <w:spacing w:line="579" w:lineRule="exact"/>
        <w:rPr>
          <w:rStyle w:val="10"/>
          <w:rFonts w:ascii="仿宋_GB2312" w:hAnsi="仿宋_GB2312" w:eastAsia="仿宋_GB2312" w:cs="仿宋_GB2312"/>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p>
    <w:p>
      <w:pPr>
        <w:spacing w:line="579" w:lineRule="exact"/>
        <w:rPr>
          <w:rStyle w:val="10"/>
          <w:rFonts w:ascii="黑体" w:hAnsi="黑体" w:eastAsia="黑体" w:cs="黑体"/>
          <w:sz w:val="32"/>
          <w:szCs w:val="32"/>
        </w:rPr>
      </w:pPr>
      <w:r>
        <w:rPr>
          <w:rStyle w:val="10"/>
          <w:rFonts w:hint="eastAsia" w:ascii="黑体" w:hAnsi="黑体" w:eastAsia="黑体" w:cs="黑体"/>
          <w:sz w:val="32"/>
          <w:szCs w:val="32"/>
        </w:rPr>
        <w:t>附件5</w:t>
      </w:r>
    </w:p>
    <w:p>
      <w:pPr>
        <w:spacing w:line="579" w:lineRule="exact"/>
        <w:jc w:val="center"/>
        <w:rPr>
          <w:rStyle w:val="10"/>
          <w:rFonts w:ascii="方正小标宋简体" w:hAnsi="方正小标宋简体" w:eastAsia="方正小标宋简体" w:cs="方正小标宋简体"/>
          <w:sz w:val="44"/>
          <w:szCs w:val="44"/>
        </w:rPr>
      </w:pPr>
    </w:p>
    <w:p>
      <w:pPr>
        <w:spacing w:line="579" w:lineRule="exact"/>
        <w:jc w:val="center"/>
        <w:rPr>
          <w:rStyle w:val="10"/>
          <w:rFonts w:ascii="方正小标宋简体" w:hAnsi="方正小标宋简体" w:eastAsia="方正小标宋简体" w:cs="方正小标宋简体"/>
          <w:sz w:val="44"/>
          <w:szCs w:val="44"/>
        </w:rPr>
      </w:pPr>
      <w:r>
        <w:rPr>
          <w:rStyle w:val="10"/>
          <w:rFonts w:hint="eastAsia" w:ascii="方正小标宋简体" w:hAnsi="方正小标宋简体" w:eastAsia="方正小标宋简体" w:cs="方正小标宋简体"/>
          <w:sz w:val="44"/>
          <w:szCs w:val="44"/>
        </w:rPr>
        <w:t>被征收住宅装修分类及补偿单价表</w:t>
      </w:r>
    </w:p>
    <w:p>
      <w:pPr>
        <w:spacing w:line="579" w:lineRule="exact"/>
        <w:jc w:val="right"/>
        <w:rPr>
          <w:rStyle w:val="10"/>
          <w:rFonts w:ascii="仿宋_GB2312" w:hAnsi="仿宋_GB2312" w:eastAsia="仿宋_GB2312" w:cs="仿宋_GB2312"/>
          <w:sz w:val="32"/>
          <w:szCs w:val="32"/>
        </w:rPr>
      </w:pPr>
      <w:r>
        <w:rPr>
          <w:rStyle w:val="10"/>
          <w:rFonts w:hint="eastAsia" w:ascii="仿宋_GB2312" w:hAnsi="仿宋_GB2312" w:eastAsia="仿宋_GB2312" w:cs="仿宋_GB2312"/>
          <w:sz w:val="32"/>
          <w:szCs w:val="32"/>
        </w:rPr>
        <w:t>金额单位：元/㎡</w:t>
      </w:r>
    </w:p>
    <w:tbl>
      <w:tblPr>
        <w:tblStyle w:val="6"/>
        <w:tblpPr w:leftFromText="180" w:rightFromText="180" w:vertAnchor="text" w:horzAnchor="page" w:tblpXSpec="center" w:tblpY="390"/>
        <w:tblOverlap w:val="never"/>
        <w:tblW w:w="9880" w:type="dxa"/>
        <w:jc w:val="center"/>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960"/>
        <w:gridCol w:w="1544"/>
        <w:gridCol w:w="7376"/>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06" w:hRule="atLeast"/>
          <w:tblHeader/>
          <w:jc w:val="center"/>
        </w:trPr>
        <w:tc>
          <w:tcPr>
            <w:tcW w:w="960" w:type="dxa"/>
            <w:tcBorders>
              <w:top w:val="single" w:color="000000" w:sz="4" w:space="0"/>
              <w:left w:val="single" w:color="000000" w:sz="4" w:space="0"/>
              <w:bottom w:val="single" w:color="000000" w:sz="4" w:space="0"/>
              <w:right w:val="single" w:color="000000" w:sz="4" w:space="0"/>
            </w:tcBorders>
            <w:vAlign w:val="center"/>
          </w:tcPr>
          <w:p>
            <w:pPr>
              <w:spacing w:line="579" w:lineRule="exact"/>
              <w:jc w:val="center"/>
              <w:rPr>
                <w:rStyle w:val="10"/>
                <w:rFonts w:ascii="黑体" w:hAnsi="黑体" w:eastAsia="黑体" w:cs="黑体"/>
                <w:kern w:val="0"/>
                <w:sz w:val="30"/>
                <w:szCs w:val="30"/>
              </w:rPr>
            </w:pPr>
            <w:r>
              <w:rPr>
                <w:rStyle w:val="10"/>
                <w:rFonts w:hint="eastAsia" w:ascii="黑体" w:hAnsi="黑体" w:eastAsia="黑体" w:cs="黑体"/>
                <w:kern w:val="0"/>
                <w:sz w:val="30"/>
                <w:szCs w:val="30"/>
              </w:rPr>
              <w:t>类别</w:t>
            </w:r>
          </w:p>
        </w:tc>
        <w:tc>
          <w:tcPr>
            <w:tcW w:w="1544" w:type="dxa"/>
            <w:tcBorders>
              <w:top w:val="single" w:color="000000" w:sz="4" w:space="0"/>
              <w:left w:val="single" w:color="000000" w:sz="4" w:space="0"/>
              <w:bottom w:val="single" w:color="000000" w:sz="4" w:space="0"/>
              <w:right w:val="single" w:color="000000" w:sz="4" w:space="0"/>
            </w:tcBorders>
            <w:vAlign w:val="center"/>
          </w:tcPr>
          <w:p>
            <w:pPr>
              <w:spacing w:line="579" w:lineRule="exact"/>
              <w:jc w:val="center"/>
              <w:rPr>
                <w:rStyle w:val="10"/>
                <w:rFonts w:ascii="黑体" w:hAnsi="黑体" w:eastAsia="黑体" w:cs="黑体"/>
                <w:kern w:val="0"/>
                <w:sz w:val="30"/>
                <w:szCs w:val="30"/>
              </w:rPr>
            </w:pPr>
            <w:r>
              <w:rPr>
                <w:rStyle w:val="10"/>
                <w:rFonts w:hint="eastAsia" w:ascii="黑体" w:hAnsi="黑体" w:eastAsia="黑体" w:cs="黑体"/>
                <w:kern w:val="0"/>
                <w:sz w:val="30"/>
                <w:szCs w:val="30"/>
              </w:rPr>
              <w:t>补偿金额</w:t>
            </w:r>
          </w:p>
        </w:tc>
        <w:tc>
          <w:tcPr>
            <w:tcW w:w="7376" w:type="dxa"/>
            <w:tcBorders>
              <w:top w:val="single" w:color="000000" w:sz="4" w:space="0"/>
              <w:left w:val="single" w:color="000000" w:sz="4" w:space="0"/>
              <w:bottom w:val="single" w:color="000000" w:sz="4" w:space="0"/>
              <w:right w:val="single" w:color="000000" w:sz="4" w:space="0"/>
            </w:tcBorders>
            <w:vAlign w:val="center"/>
          </w:tcPr>
          <w:p>
            <w:pPr>
              <w:spacing w:line="579" w:lineRule="exact"/>
              <w:jc w:val="center"/>
              <w:rPr>
                <w:rStyle w:val="10"/>
                <w:rFonts w:ascii="黑体" w:hAnsi="黑体" w:eastAsia="黑体" w:cs="黑体"/>
                <w:kern w:val="0"/>
                <w:sz w:val="30"/>
                <w:szCs w:val="30"/>
              </w:rPr>
            </w:pPr>
            <w:r>
              <w:rPr>
                <w:rStyle w:val="10"/>
                <w:rFonts w:hint="eastAsia" w:ascii="黑体" w:hAnsi="黑体" w:eastAsia="黑体" w:cs="黑体"/>
                <w:kern w:val="0"/>
                <w:sz w:val="30"/>
                <w:szCs w:val="30"/>
              </w:rPr>
              <w:t>主要特征</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30" w:hRule="atLeast"/>
          <w:jc w:val="center"/>
        </w:trPr>
        <w:tc>
          <w:tcPr>
            <w:tcW w:w="960" w:type="dxa"/>
            <w:tcBorders>
              <w:top w:val="single" w:color="000000" w:sz="4" w:space="0"/>
              <w:left w:val="single" w:color="000000" w:sz="4" w:space="0"/>
              <w:bottom w:val="single" w:color="000000" w:sz="4" w:space="0"/>
              <w:right w:val="single" w:color="000000" w:sz="4" w:space="0"/>
            </w:tcBorders>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一档</w:t>
            </w:r>
          </w:p>
        </w:tc>
        <w:tc>
          <w:tcPr>
            <w:tcW w:w="1544" w:type="dxa"/>
            <w:tcBorders>
              <w:top w:val="single" w:color="000000" w:sz="4" w:space="0"/>
              <w:left w:val="single" w:color="000000" w:sz="4" w:space="0"/>
              <w:bottom w:val="single" w:color="000000" w:sz="4" w:space="0"/>
              <w:right w:val="single" w:color="000000" w:sz="4" w:space="0"/>
            </w:tcBorders>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600</w:t>
            </w:r>
          </w:p>
        </w:tc>
        <w:tc>
          <w:tcPr>
            <w:tcW w:w="7376" w:type="dxa"/>
            <w:tcBorders>
              <w:top w:val="single" w:color="000000" w:sz="4" w:space="0"/>
              <w:left w:val="single" w:color="000000" w:sz="4" w:space="0"/>
              <w:bottom w:val="single" w:color="000000" w:sz="4" w:space="0"/>
              <w:right w:val="single" w:color="000000" w:sz="4" w:space="0"/>
            </w:tcBorders>
            <w:vAlign w:val="center"/>
          </w:tcPr>
          <w:p>
            <w:pPr>
              <w:spacing w:line="579" w:lineRule="exact"/>
              <w:jc w:val="left"/>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入户门为防盗门，地面为中档花岗岩或缸砖，瓷砖踢脚线，内墙面 ICI 涂料粉刷，水泥漆、喷涂料、木作墙裙：天棚吊顶、四周角线、带灯座；室内设有部分壁柜；铝合金窗外加防盗网，窗帘盒，阳台有防盗网；厨房瓷砖地面，瓷砖墙面，铝塑板吊顶；卫生间吊顶，洁具齐全。中档电照。</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820" w:hRule="atLeast"/>
          <w:jc w:val="center"/>
        </w:trPr>
        <w:tc>
          <w:tcPr>
            <w:tcW w:w="960" w:type="dxa"/>
            <w:tcBorders>
              <w:top w:val="single" w:color="000000" w:sz="4" w:space="0"/>
              <w:left w:val="single" w:color="000000" w:sz="4" w:space="0"/>
              <w:bottom w:val="single" w:color="000000" w:sz="4" w:space="0"/>
              <w:right w:val="single" w:color="000000" w:sz="4" w:space="0"/>
            </w:tcBorders>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二档</w:t>
            </w:r>
          </w:p>
        </w:tc>
        <w:tc>
          <w:tcPr>
            <w:tcW w:w="1544" w:type="dxa"/>
            <w:tcBorders>
              <w:top w:val="single" w:color="000000" w:sz="4" w:space="0"/>
              <w:left w:val="single" w:color="000000" w:sz="4" w:space="0"/>
              <w:bottom w:val="single" w:color="000000" w:sz="4" w:space="0"/>
              <w:right w:val="single" w:color="000000" w:sz="4" w:space="0"/>
            </w:tcBorders>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500</w:t>
            </w:r>
          </w:p>
        </w:tc>
        <w:tc>
          <w:tcPr>
            <w:tcW w:w="7376" w:type="dxa"/>
            <w:tcBorders>
              <w:top w:val="single" w:color="000000" w:sz="4" w:space="0"/>
              <w:left w:val="single" w:color="000000" w:sz="4" w:space="0"/>
              <w:bottom w:val="single" w:color="000000" w:sz="4" w:space="0"/>
              <w:right w:val="single" w:color="000000" w:sz="4" w:space="0"/>
            </w:tcBorders>
            <w:vAlign w:val="center"/>
          </w:tcPr>
          <w:p>
            <w:pPr>
              <w:spacing w:line="579" w:lineRule="exact"/>
              <w:jc w:val="left"/>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入户门为防盗门，地面为中档花岗岩或缸砖，瓷砖踢脚线，内墙面为涂料粉刷，瓷砖墙裙：天棚四周角线，铝合金窗外加部分防盗网，阳台有防盗网；厨房瓷砖地面，瓷砖墙面，卫生间吊顶，洁具齐全。普通电照。</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430" w:hRule="atLeast"/>
          <w:jc w:val="center"/>
        </w:trPr>
        <w:tc>
          <w:tcPr>
            <w:tcW w:w="960" w:type="dxa"/>
            <w:tcBorders>
              <w:top w:val="single" w:color="000000" w:sz="4" w:space="0"/>
              <w:left w:val="single" w:color="000000" w:sz="4" w:space="0"/>
              <w:bottom w:val="single" w:color="000000" w:sz="4" w:space="0"/>
              <w:right w:val="single" w:color="000000" w:sz="4" w:space="0"/>
            </w:tcBorders>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三档</w:t>
            </w:r>
          </w:p>
        </w:tc>
        <w:tc>
          <w:tcPr>
            <w:tcW w:w="1544" w:type="dxa"/>
            <w:tcBorders>
              <w:top w:val="single" w:color="000000" w:sz="4" w:space="0"/>
              <w:left w:val="single" w:color="000000" w:sz="4" w:space="0"/>
              <w:bottom w:val="single" w:color="000000" w:sz="4" w:space="0"/>
              <w:right w:val="single" w:color="000000" w:sz="4" w:space="0"/>
            </w:tcBorders>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400</w:t>
            </w:r>
          </w:p>
        </w:tc>
        <w:tc>
          <w:tcPr>
            <w:tcW w:w="7376" w:type="dxa"/>
            <w:tcBorders>
              <w:top w:val="single" w:color="000000" w:sz="4" w:space="0"/>
              <w:left w:val="single" w:color="000000" w:sz="4" w:space="0"/>
              <w:bottom w:val="single" w:color="000000" w:sz="4" w:space="0"/>
              <w:right w:val="single" w:color="000000" w:sz="4" w:space="0"/>
            </w:tcBorders>
            <w:vAlign w:val="center"/>
          </w:tcPr>
          <w:p>
            <w:pPr>
              <w:spacing w:line="579" w:lineRule="exact"/>
              <w:jc w:val="left"/>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入户门为铁门及木门，地面为普通花岗岩或普通瓷砖，内墙面或天棚为墙漆粉刷，天棚四周角线：木门窗，卫生间洁具齐全，吊顶；普通电照。</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295" w:hRule="atLeast"/>
          <w:jc w:val="center"/>
        </w:trPr>
        <w:tc>
          <w:tcPr>
            <w:tcW w:w="960" w:type="dxa"/>
            <w:tcBorders>
              <w:top w:val="single" w:color="000000" w:sz="4" w:space="0"/>
              <w:left w:val="single" w:color="000000" w:sz="4" w:space="0"/>
              <w:bottom w:val="single" w:color="000000" w:sz="4" w:space="0"/>
              <w:right w:val="single" w:color="000000" w:sz="4" w:space="0"/>
            </w:tcBorders>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四档</w:t>
            </w:r>
          </w:p>
        </w:tc>
        <w:tc>
          <w:tcPr>
            <w:tcW w:w="1544" w:type="dxa"/>
            <w:tcBorders>
              <w:top w:val="single" w:color="000000" w:sz="4" w:space="0"/>
              <w:left w:val="single" w:color="000000" w:sz="4" w:space="0"/>
              <w:bottom w:val="single" w:color="000000" w:sz="4" w:space="0"/>
              <w:right w:val="single" w:color="000000" w:sz="4" w:space="0"/>
            </w:tcBorders>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300</w:t>
            </w:r>
          </w:p>
        </w:tc>
        <w:tc>
          <w:tcPr>
            <w:tcW w:w="7376" w:type="dxa"/>
            <w:tcBorders>
              <w:top w:val="single" w:color="000000" w:sz="4" w:space="0"/>
              <w:left w:val="single" w:color="000000" w:sz="4" w:space="0"/>
              <w:bottom w:val="single" w:color="000000" w:sz="4" w:space="0"/>
              <w:right w:val="single" w:color="000000" w:sz="4" w:space="0"/>
            </w:tcBorders>
            <w:vAlign w:val="center"/>
          </w:tcPr>
          <w:p>
            <w:pPr>
              <w:spacing w:line="579" w:lineRule="exact"/>
              <w:jc w:val="left"/>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地面为普通瓷砖，墙面部分贴瓷砖，内墙面及天棚普通墙漆粉刷：木门窗，简单铁门，防盗栅，普通水卫电照。</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286" w:hRule="atLeast"/>
          <w:jc w:val="center"/>
        </w:trPr>
        <w:tc>
          <w:tcPr>
            <w:tcW w:w="960" w:type="dxa"/>
            <w:tcBorders>
              <w:top w:val="single" w:color="000000" w:sz="4" w:space="0"/>
              <w:left w:val="single" w:color="000000" w:sz="4" w:space="0"/>
              <w:bottom w:val="single" w:color="000000" w:sz="4" w:space="0"/>
              <w:right w:val="single" w:color="000000" w:sz="4" w:space="0"/>
            </w:tcBorders>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五档</w:t>
            </w:r>
          </w:p>
        </w:tc>
        <w:tc>
          <w:tcPr>
            <w:tcW w:w="1544" w:type="dxa"/>
            <w:tcBorders>
              <w:top w:val="single" w:color="000000" w:sz="4" w:space="0"/>
              <w:left w:val="single" w:color="000000" w:sz="4" w:space="0"/>
              <w:bottom w:val="single" w:color="000000" w:sz="4" w:space="0"/>
              <w:right w:val="single" w:color="000000" w:sz="4" w:space="0"/>
            </w:tcBorders>
            <w:vAlign w:val="center"/>
          </w:tcPr>
          <w:p>
            <w:pPr>
              <w:spacing w:line="579" w:lineRule="exact"/>
              <w:jc w:val="center"/>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200</w:t>
            </w:r>
          </w:p>
        </w:tc>
        <w:tc>
          <w:tcPr>
            <w:tcW w:w="7376" w:type="dxa"/>
            <w:tcBorders>
              <w:top w:val="single" w:color="000000" w:sz="4" w:space="0"/>
              <w:left w:val="single" w:color="000000" w:sz="4" w:space="0"/>
              <w:bottom w:val="single" w:color="000000" w:sz="4" w:space="0"/>
              <w:right w:val="single" w:color="000000" w:sz="4" w:space="0"/>
            </w:tcBorders>
            <w:vAlign w:val="center"/>
          </w:tcPr>
          <w:p>
            <w:pPr>
              <w:spacing w:line="579" w:lineRule="exact"/>
              <w:jc w:val="left"/>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地面为地板砖或斗底砖，内墙面及天棚简单粉刷或部分粉刷：木门窗，简单铁门，防盗栅，普通水卫电照。</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340" w:hRule="atLeast"/>
          <w:jc w:val="center"/>
        </w:trPr>
        <w:tc>
          <w:tcPr>
            <w:tcW w:w="9880" w:type="dxa"/>
            <w:gridSpan w:val="3"/>
            <w:tcBorders>
              <w:top w:val="single" w:color="000000" w:sz="4" w:space="0"/>
              <w:left w:val="single" w:color="000000" w:sz="4" w:space="0"/>
              <w:bottom w:val="single" w:color="000000" w:sz="4" w:space="0"/>
              <w:right w:val="single" w:color="000000" w:sz="4" w:space="0"/>
            </w:tcBorders>
            <w:vAlign w:val="center"/>
          </w:tcPr>
          <w:p>
            <w:pPr>
              <w:spacing w:line="579" w:lineRule="exact"/>
              <w:jc w:val="left"/>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备注：</w:t>
            </w:r>
          </w:p>
          <w:p>
            <w:pPr>
              <w:spacing w:line="579" w:lineRule="exact"/>
              <w:ind w:firstLine="606" w:firstLineChars="200"/>
              <w:jc w:val="left"/>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1.区分装修档次应根据材料档次、做工精细度等因素综合判断。</w:t>
            </w:r>
          </w:p>
          <w:p>
            <w:pPr>
              <w:spacing w:line="579" w:lineRule="exact"/>
              <w:ind w:firstLine="606" w:firstLineChars="200"/>
              <w:jc w:val="left"/>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2.选择全部货币补偿方式的，装饰装修价值可享受20%货币补偿方式奖励。装饰装修选择分户评估的，不再享受奖励。</w:t>
            </w:r>
          </w:p>
          <w:p>
            <w:pPr>
              <w:spacing w:line="579" w:lineRule="exact"/>
              <w:ind w:firstLine="606" w:firstLineChars="200"/>
              <w:jc w:val="left"/>
              <w:rPr>
                <w:rStyle w:val="10"/>
                <w:rFonts w:ascii="仿宋_GB2312" w:hAnsi="仿宋_GB2312" w:eastAsia="仿宋_GB2312" w:cs="仿宋_GB2312"/>
                <w:kern w:val="0"/>
                <w:sz w:val="30"/>
                <w:szCs w:val="30"/>
              </w:rPr>
            </w:pPr>
            <w:r>
              <w:rPr>
                <w:rStyle w:val="10"/>
                <w:rFonts w:hint="eastAsia" w:ascii="仿宋_GB2312" w:hAnsi="仿宋_GB2312" w:eastAsia="仿宋_GB2312" w:cs="仿宋_GB2312"/>
                <w:kern w:val="0"/>
                <w:sz w:val="30"/>
                <w:szCs w:val="30"/>
              </w:rPr>
              <w:t>3.选择全部产权调换方式或部分产权调换部分货币补偿方式的，不再享受奖励。</w:t>
            </w:r>
          </w:p>
        </w:tc>
      </w:tr>
    </w:tbl>
    <w:p>
      <w:pPr>
        <w:spacing w:line="579" w:lineRule="exact"/>
        <w:rPr>
          <w:rStyle w:val="10"/>
          <w:rFonts w:ascii="仿宋_GB2312" w:hAnsi="仿宋_GB2312" w:eastAsia="仿宋_GB2312" w:cs="仿宋_GB2312"/>
          <w:sz w:val="30"/>
          <w:szCs w:val="30"/>
        </w:rPr>
      </w:pPr>
    </w:p>
    <w:p>
      <w:pPr>
        <w:spacing w:line="579" w:lineRule="exact"/>
        <w:rPr>
          <w:rStyle w:val="10"/>
          <w:rFonts w:ascii="仿宋_GB2312" w:hAnsi="仿宋_GB2312" w:eastAsia="仿宋_GB2312" w:cs="仿宋_GB2312"/>
          <w:sz w:val="30"/>
          <w:szCs w:val="30"/>
        </w:rPr>
      </w:pPr>
    </w:p>
    <w:p>
      <w:pPr>
        <w:spacing w:line="579" w:lineRule="exact"/>
        <w:rPr>
          <w:rStyle w:val="10"/>
          <w:rFonts w:ascii="仿宋_GB2312" w:hAnsi="仿宋_GB2312" w:eastAsia="仿宋_GB2312" w:cs="仿宋_GB2312"/>
          <w:sz w:val="30"/>
          <w:szCs w:val="30"/>
        </w:rPr>
      </w:pPr>
    </w:p>
    <w:p>
      <w:pPr>
        <w:spacing w:line="579" w:lineRule="exact"/>
        <w:rPr>
          <w:rStyle w:val="10"/>
          <w:rFonts w:ascii="仿宋_GB2312" w:hAnsi="仿宋_GB2312" w:eastAsia="仿宋_GB2312" w:cs="仿宋_GB2312"/>
          <w:sz w:val="30"/>
          <w:szCs w:val="30"/>
        </w:rPr>
      </w:pPr>
    </w:p>
    <w:p>
      <w:pPr>
        <w:spacing w:line="579" w:lineRule="exact"/>
        <w:rPr>
          <w:rStyle w:val="10"/>
          <w:rFonts w:ascii="仿宋_GB2312" w:hAnsi="仿宋_GB2312" w:eastAsia="仿宋_GB2312" w:cs="仿宋_GB2312"/>
          <w:sz w:val="30"/>
          <w:szCs w:val="30"/>
        </w:rPr>
      </w:pPr>
    </w:p>
    <w:p>
      <w:pPr>
        <w:spacing w:line="579" w:lineRule="exact"/>
        <w:rPr>
          <w:rStyle w:val="10"/>
          <w:rFonts w:ascii="仿宋_GB2312" w:hAnsi="仿宋_GB2312" w:eastAsia="仿宋_GB2312" w:cs="仿宋_GB2312"/>
          <w:sz w:val="30"/>
          <w:szCs w:val="30"/>
        </w:rPr>
      </w:pPr>
    </w:p>
    <w:p>
      <w:pPr>
        <w:spacing w:line="579" w:lineRule="exact"/>
        <w:rPr>
          <w:rStyle w:val="10"/>
          <w:rFonts w:ascii="仿宋_GB2312" w:hAnsi="仿宋_GB2312" w:eastAsia="仿宋_GB2312" w:cs="仿宋_GB2312"/>
          <w:sz w:val="30"/>
          <w:szCs w:val="30"/>
        </w:rPr>
      </w:pPr>
    </w:p>
    <w:p>
      <w:pPr>
        <w:spacing w:line="579" w:lineRule="exact"/>
        <w:rPr>
          <w:rStyle w:val="10"/>
          <w:rFonts w:ascii="仿宋_GB2312" w:hAnsi="仿宋_GB2312" w:eastAsia="仿宋_GB2312" w:cs="仿宋_GB2312"/>
          <w:sz w:val="30"/>
          <w:szCs w:val="30"/>
        </w:rPr>
      </w:pPr>
    </w:p>
    <w:p>
      <w:pPr>
        <w:spacing w:line="579" w:lineRule="exact"/>
        <w:rPr>
          <w:rStyle w:val="10"/>
          <w:rFonts w:ascii="仿宋_GB2312" w:hAnsi="仿宋_GB2312" w:eastAsia="仿宋_GB2312" w:cs="仿宋_GB2312"/>
          <w:sz w:val="30"/>
          <w:szCs w:val="30"/>
        </w:rPr>
      </w:pPr>
    </w:p>
    <w:p>
      <w:pPr>
        <w:spacing w:line="579" w:lineRule="exact"/>
        <w:rPr>
          <w:rStyle w:val="10"/>
          <w:rFonts w:ascii="仿宋_GB2312" w:hAnsi="仿宋_GB2312" w:eastAsia="仿宋_GB2312" w:cs="仿宋_GB2312"/>
          <w:sz w:val="30"/>
          <w:szCs w:val="30"/>
        </w:rPr>
      </w:pPr>
    </w:p>
    <w:p>
      <w:pPr>
        <w:spacing w:line="579" w:lineRule="exact"/>
        <w:rPr>
          <w:rStyle w:val="10"/>
          <w:rFonts w:ascii="仿宋_GB2312" w:hAnsi="仿宋_GB2312" w:eastAsia="仿宋_GB2312" w:cs="仿宋_GB2312"/>
          <w:sz w:val="30"/>
          <w:szCs w:val="30"/>
        </w:rPr>
      </w:pPr>
    </w:p>
    <w:p>
      <w:pPr>
        <w:spacing w:line="579" w:lineRule="exact"/>
        <w:rPr>
          <w:rStyle w:val="10"/>
          <w:rFonts w:ascii="仿宋_GB2312" w:hAnsi="仿宋_GB2312" w:eastAsia="仿宋_GB2312" w:cs="仿宋_GB2312"/>
          <w:sz w:val="30"/>
          <w:szCs w:val="30"/>
        </w:rPr>
      </w:pPr>
    </w:p>
    <w:p>
      <w:pPr>
        <w:spacing w:line="579" w:lineRule="exact"/>
        <w:rPr>
          <w:rStyle w:val="10"/>
          <w:rFonts w:ascii="仿宋_GB2312" w:hAnsi="仿宋_GB2312" w:eastAsia="仿宋_GB2312" w:cs="仿宋_GB2312"/>
          <w:sz w:val="30"/>
          <w:szCs w:val="30"/>
        </w:rPr>
      </w:pPr>
    </w:p>
    <w:p>
      <w:pPr>
        <w:spacing w:line="579" w:lineRule="exact"/>
        <w:rPr>
          <w:rStyle w:val="10"/>
          <w:rFonts w:ascii="黑体" w:hAnsi="黑体" w:eastAsia="黑体" w:cs="黑体"/>
          <w:sz w:val="32"/>
          <w:szCs w:val="32"/>
        </w:rPr>
      </w:pPr>
      <w:r>
        <w:rPr>
          <w:rStyle w:val="10"/>
          <w:rFonts w:hint="eastAsia" w:ascii="黑体" w:hAnsi="黑体" w:eastAsia="黑体" w:cs="黑体"/>
          <w:sz w:val="30"/>
          <w:szCs w:val="30"/>
        </w:rPr>
        <w:t>附件6</w:t>
      </w:r>
    </w:p>
    <w:p>
      <w:pPr>
        <w:spacing w:line="579" w:lineRule="exact"/>
        <w:ind w:firstLine="1772" w:firstLineChars="400"/>
        <w:rPr>
          <w:rFonts w:ascii="仿宋_GB2312" w:hAnsi="仿宋_GB2312" w:eastAsia="仿宋_GB2312" w:cs="仿宋_GB2312"/>
          <w:b/>
          <w:sz w:val="44"/>
          <w:szCs w:val="44"/>
        </w:rPr>
      </w:pPr>
      <w:r>
        <w:rPr>
          <w:rFonts w:hint="eastAsia" w:ascii="方正小标宋简体" w:hAnsi="方正小标宋简体" w:eastAsia="方正小标宋简体" w:cs="方正小标宋简体"/>
          <w:bCs/>
          <w:sz w:val="44"/>
          <w:szCs w:val="44"/>
        </w:rPr>
        <w:t>其他附属物项目补偿单价表</w:t>
      </w:r>
    </w:p>
    <w:tbl>
      <w:tblPr>
        <w:tblStyle w:val="6"/>
        <w:tblpPr w:leftFromText="180" w:rightFromText="180" w:vertAnchor="text" w:horzAnchor="page" w:tblpXSpec="center" w:tblpY="707"/>
        <w:tblOverlap w:val="never"/>
        <w:tblW w:w="9749" w:type="dxa"/>
        <w:jc w:val="center"/>
        <w:tblLayout w:type="fixed"/>
        <w:tblCellMar>
          <w:top w:w="15" w:type="dxa"/>
          <w:left w:w="15" w:type="dxa"/>
          <w:bottom w:w="15" w:type="dxa"/>
          <w:right w:w="15" w:type="dxa"/>
        </w:tblCellMar>
      </w:tblPr>
      <w:tblGrid>
        <w:gridCol w:w="1035"/>
        <w:gridCol w:w="2683"/>
        <w:gridCol w:w="1423"/>
        <w:gridCol w:w="1560"/>
        <w:gridCol w:w="3048"/>
      </w:tblGrid>
      <w:tr>
        <w:tblPrEx>
          <w:tblCellMar>
            <w:top w:w="15" w:type="dxa"/>
            <w:left w:w="15" w:type="dxa"/>
            <w:bottom w:w="15" w:type="dxa"/>
            <w:right w:w="15" w:type="dxa"/>
          </w:tblCellMar>
        </w:tblPrEx>
        <w:trPr>
          <w:trHeight w:val="285" w:hRule="atLeast"/>
          <w:jc w:val="center"/>
        </w:trPr>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黑体" w:hAnsi="黑体" w:eastAsia="黑体" w:cs="黑体"/>
                <w:bCs/>
                <w:sz w:val="30"/>
                <w:szCs w:val="30"/>
              </w:rPr>
            </w:pPr>
            <w:r>
              <w:rPr>
                <w:rFonts w:hint="eastAsia" w:ascii="黑体" w:hAnsi="黑体" w:eastAsia="黑体" w:cs="黑体"/>
                <w:bCs/>
                <w:kern w:val="0"/>
                <w:sz w:val="30"/>
                <w:szCs w:val="30"/>
                <w:lang w:bidi="ar"/>
              </w:rPr>
              <w:t>项目</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黑体" w:hAnsi="黑体" w:eastAsia="黑体" w:cs="黑体"/>
                <w:bCs/>
                <w:sz w:val="30"/>
                <w:szCs w:val="30"/>
              </w:rPr>
            </w:pPr>
            <w:r>
              <w:rPr>
                <w:rFonts w:hint="eastAsia" w:ascii="黑体" w:hAnsi="黑体" w:eastAsia="黑体" w:cs="黑体"/>
                <w:bCs/>
                <w:kern w:val="0"/>
                <w:sz w:val="30"/>
                <w:szCs w:val="30"/>
                <w:lang w:bidi="ar"/>
              </w:rPr>
              <w:t>种类</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黑体" w:hAnsi="黑体" w:eastAsia="黑体" w:cs="黑体"/>
                <w:bCs/>
                <w:sz w:val="30"/>
                <w:szCs w:val="30"/>
              </w:rPr>
            </w:pPr>
            <w:r>
              <w:rPr>
                <w:rFonts w:hint="eastAsia" w:ascii="黑体" w:hAnsi="黑体" w:eastAsia="黑体" w:cs="黑体"/>
                <w:bCs/>
                <w:kern w:val="0"/>
                <w:sz w:val="30"/>
                <w:szCs w:val="30"/>
                <w:lang w:bidi="ar"/>
              </w:rPr>
              <w:t>计算单位</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黑体" w:hAnsi="黑体" w:eastAsia="黑体" w:cs="黑体"/>
                <w:bCs/>
                <w:sz w:val="30"/>
                <w:szCs w:val="30"/>
              </w:rPr>
            </w:pPr>
            <w:r>
              <w:rPr>
                <w:rFonts w:hint="eastAsia" w:ascii="黑体" w:hAnsi="黑体" w:eastAsia="黑体" w:cs="黑体"/>
                <w:bCs/>
                <w:kern w:val="0"/>
                <w:sz w:val="30"/>
                <w:szCs w:val="30"/>
                <w:lang w:bidi="ar"/>
              </w:rPr>
              <w:t>单价（元）</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黑体" w:hAnsi="黑体" w:eastAsia="黑体" w:cs="黑体"/>
                <w:bCs/>
                <w:sz w:val="30"/>
                <w:szCs w:val="30"/>
              </w:rPr>
            </w:pPr>
            <w:r>
              <w:rPr>
                <w:rFonts w:hint="eastAsia" w:ascii="黑体" w:hAnsi="黑体" w:eastAsia="黑体" w:cs="黑体"/>
                <w:bCs/>
                <w:kern w:val="0"/>
                <w:sz w:val="30"/>
                <w:szCs w:val="30"/>
                <w:lang w:bidi="ar"/>
              </w:rPr>
              <w:t>说明</w:t>
            </w:r>
          </w:p>
        </w:tc>
      </w:tr>
      <w:tr>
        <w:tblPrEx>
          <w:tblCellMar>
            <w:top w:w="15" w:type="dxa"/>
            <w:left w:w="15" w:type="dxa"/>
            <w:bottom w:w="15" w:type="dxa"/>
            <w:right w:w="15" w:type="dxa"/>
          </w:tblCellMar>
        </w:tblPrEx>
        <w:trPr>
          <w:trHeight w:val="354" w:hRule="atLeast"/>
          <w:jc w:val="center"/>
        </w:trPr>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水井</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条石</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立方米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250-300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砖</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立方米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200-250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乱石</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立方米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180-250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土井</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立方米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100-150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水泥墙</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立方米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150-200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废井</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口</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200-500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机井</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民用井</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180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根据实际深度计算</w:t>
            </w:r>
          </w:p>
        </w:tc>
      </w:tr>
      <w:tr>
        <w:tblPrEx>
          <w:tblCellMar>
            <w:top w:w="15" w:type="dxa"/>
            <w:left w:w="15" w:type="dxa"/>
            <w:bottom w:w="15" w:type="dxa"/>
            <w:right w:w="15" w:type="dxa"/>
          </w:tblCellMar>
        </w:tblPrEx>
        <w:trPr>
          <w:trHeight w:val="285" w:hRule="atLeast"/>
          <w:jc w:val="center"/>
        </w:trPr>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门</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电动</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平方米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600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电机每台补偿1200元</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不锈钢</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平方米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600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6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镀锌板</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平方米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260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室外围墙全封闭</w:t>
            </w:r>
          </w:p>
        </w:tc>
      </w:tr>
      <w:tr>
        <w:tblPrEx>
          <w:tblCellMar>
            <w:top w:w="15" w:type="dxa"/>
            <w:left w:w="15" w:type="dxa"/>
            <w:bottom w:w="15" w:type="dxa"/>
            <w:right w:w="15" w:type="dxa"/>
          </w:tblCellMar>
        </w:tblPrEx>
        <w:trPr>
          <w:trHeight w:val="667" w:hRule="atLeast"/>
          <w:jc w:val="center"/>
        </w:trPr>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围墙</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条石</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立方米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250-300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砖</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立方米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320-380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土</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立方米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25-35</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6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空心砖</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立方米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150-200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771"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乱石</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立方米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150-180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459" w:hRule="atLeast"/>
          <w:jc w:val="center"/>
        </w:trPr>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水池水柜</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砖抹水泥面</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80-100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指厨房或浴室内洗刷用小水池小水柜。</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砖贴瓷砖</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100-150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洗手盆</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350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厕所</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茅厕</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600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室外</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普通公厕</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平方</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500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室外</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室内蹲位</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200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室内</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室内坐盆</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300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室内</w:t>
            </w:r>
          </w:p>
        </w:tc>
      </w:tr>
      <w:tr>
        <w:tblPrEx>
          <w:tblCellMar>
            <w:top w:w="15" w:type="dxa"/>
            <w:left w:w="15" w:type="dxa"/>
            <w:bottom w:w="15" w:type="dxa"/>
            <w:right w:w="15" w:type="dxa"/>
          </w:tblCellMar>
        </w:tblPrEx>
        <w:trPr>
          <w:trHeight w:val="285" w:hRule="atLeast"/>
          <w:jc w:val="center"/>
        </w:trPr>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炉灶</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砖</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250-350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分别有带烟囱的双连灶、无囱双连灶、单口灶等。</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瓷贴</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400-500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焙灶</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300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合成</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200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上柜</w:t>
            </w:r>
          </w:p>
        </w:tc>
        <w:tc>
          <w:tcPr>
            <w:tcW w:w="1423" w:type="dxa"/>
            <w:tcBorders>
              <w:top w:val="single" w:color="000000" w:sz="4" w:space="0"/>
              <w:left w:val="single" w:color="000000" w:sz="4" w:space="0"/>
              <w:bottom w:val="single" w:color="000000" w:sz="4" w:space="0"/>
              <w:right w:val="single" w:color="000000" w:sz="4" w:space="0"/>
            </w:tcBorders>
            <w:shd w:val="clear" w:color="auto" w:fill="auto"/>
          </w:tcPr>
          <w:p>
            <w:pPr>
              <w:spacing w:line="579" w:lineRule="exact"/>
              <w:jc w:val="center"/>
              <w:textAlignment w:val="top"/>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350</w:t>
            </w:r>
          </w:p>
        </w:tc>
        <w:tc>
          <w:tcPr>
            <w:tcW w:w="3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厨房成套整体灶台</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下柜</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600</w:t>
            </w:r>
          </w:p>
        </w:tc>
        <w:tc>
          <w:tcPr>
            <w:tcW w:w="3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水塔</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普通</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400-600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不锈钢</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500-800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砖混</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800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3吨及以下</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砖混</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1300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4吨-6吨</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混凝土</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1300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小3吨及以下</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tcPr>
          <w:p>
            <w:pPr>
              <w:spacing w:line="579" w:lineRule="exact"/>
              <w:jc w:val="center"/>
              <w:textAlignment w:val="top"/>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混凝土</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1800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中6吨以下</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tcPr>
          <w:p>
            <w:pPr>
              <w:spacing w:line="579" w:lineRule="exact"/>
              <w:jc w:val="center"/>
              <w:textAlignment w:val="top"/>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混凝土</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2800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大10吨</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tcPr>
          <w:p>
            <w:pPr>
              <w:spacing w:line="579" w:lineRule="exact"/>
              <w:jc w:val="center"/>
              <w:textAlignment w:val="top"/>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混凝土</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立方米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300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10吨以上</w:t>
            </w:r>
          </w:p>
        </w:tc>
      </w:tr>
      <w:tr>
        <w:tblPrEx>
          <w:tblCellMar>
            <w:top w:w="15" w:type="dxa"/>
            <w:left w:w="15" w:type="dxa"/>
            <w:bottom w:w="15" w:type="dxa"/>
            <w:right w:w="15" w:type="dxa"/>
          </w:tblCellMar>
        </w:tblPrEx>
        <w:trPr>
          <w:trHeight w:val="285" w:hRule="atLeast"/>
          <w:jc w:val="center"/>
        </w:trPr>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变压器</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50千伏</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台</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10万</w:t>
            </w:r>
          </w:p>
        </w:tc>
        <w:tc>
          <w:tcPr>
            <w:tcW w:w="3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或按安装价格补偿；迁移的，按的迁移费补偿。</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10 0千伏</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台</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12万</w:t>
            </w:r>
          </w:p>
        </w:tc>
        <w:tc>
          <w:tcPr>
            <w:tcW w:w="3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160千伏</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台</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13万</w:t>
            </w:r>
          </w:p>
        </w:tc>
        <w:tc>
          <w:tcPr>
            <w:tcW w:w="3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200千伏</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台</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13.5万</w:t>
            </w:r>
          </w:p>
        </w:tc>
        <w:tc>
          <w:tcPr>
            <w:tcW w:w="3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250千伏</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台</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14万</w:t>
            </w:r>
          </w:p>
        </w:tc>
        <w:tc>
          <w:tcPr>
            <w:tcW w:w="3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三相电表</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20A</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台</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1520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40A</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台</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3040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60A</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台</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4560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楼梯</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铁（不锈钢参照）</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台阶</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80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室外</w:t>
            </w:r>
          </w:p>
        </w:tc>
      </w:tr>
      <w:tr>
        <w:tblPrEx>
          <w:tblCellMar>
            <w:top w:w="15" w:type="dxa"/>
            <w:left w:w="15" w:type="dxa"/>
            <w:bottom w:w="15" w:type="dxa"/>
            <w:right w:w="15" w:type="dxa"/>
          </w:tblCellMar>
        </w:tblPrEx>
        <w:trPr>
          <w:trHeight w:val="285" w:hRule="atLeast"/>
          <w:jc w:val="center"/>
        </w:trPr>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其他</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有围护晒台</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平方米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150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雨遮</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平方米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380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电话移机</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部</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130-150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宽带移机</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部</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200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有线电视</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部</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800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第二部加400元/台</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空调移机</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台</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150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视频监控迁移费</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300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按监控探头数量计算</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风楼、阁楼及附属物</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平方米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250-300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木制大壁橱</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300-1000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柴间</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平方米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50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室外独立建（包括杂物贮放间）。</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猪舍</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平方米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30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水泥面菜台</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平方米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30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贴瓷砖菜台</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平方米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50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鸡舍</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间</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10-50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化粪池</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立方米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400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适用企业</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沼气池</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立方米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600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适用企业</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三化厕</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2500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适用民宅</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机井（农田灌溉用）</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5000-10000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口径在8米以上的。</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真空井</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个</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1500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太阳能</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台</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2000-3000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空气能</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台</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5000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临时建筑</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主架为竹（木）屋面为油毛毯</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平方米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40-60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高3m以上</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墙体为机砖、空心砖、木层架、屋面为油毛毯（石棉瓦）</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平方米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120-150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墙高3m以上</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铁支架、角铁屋架，屋面为彩钢板，无围护的搭盖</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平方米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150-200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墙高3m以上，</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墙体为机砖、空心挝、角铁屋架，屋面为铁皮</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平方米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200-240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墙高3m以上，</w:t>
            </w:r>
          </w:p>
        </w:tc>
      </w:tr>
      <w:tr>
        <w:tblPrEx>
          <w:tblCellMar>
            <w:top w:w="15" w:type="dxa"/>
            <w:left w:w="15" w:type="dxa"/>
            <w:bottom w:w="15" w:type="dxa"/>
            <w:right w:w="15" w:type="dxa"/>
          </w:tblCellMar>
        </w:tblPrEx>
        <w:trPr>
          <w:trHeight w:val="986"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工业厂房类的简易建筑，四周砖墙体或铁皮围或方石，钢屋面或石棉瓦或砖瓦，屋架及承重架为轻型构架</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平方米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250-300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墙高3m以上,层高4米以下</w:t>
            </w: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活动板房</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平方米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300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钢结构大棚</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平方米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50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r>
        <w:tblPrEx>
          <w:tblCellMar>
            <w:top w:w="15" w:type="dxa"/>
            <w:left w:w="15" w:type="dxa"/>
            <w:bottom w:w="15" w:type="dxa"/>
            <w:right w:w="15" w:type="dxa"/>
          </w:tblCellMar>
        </w:tblPrEx>
        <w:trPr>
          <w:trHeight w:val="285" w:hRule="atLeast"/>
          <w:jc w:val="center"/>
        </w:trPr>
        <w:tc>
          <w:tcPr>
            <w:tcW w:w="10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rPr>
                <w:rFonts w:ascii="仿宋_GB2312" w:hAnsi="仿宋_GB2312" w:eastAsia="仿宋_GB2312" w:cs="仿宋_GB2312"/>
                <w:sz w:val="30"/>
                <w:szCs w:val="30"/>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合法建筑大门护遮或风楼护遮</w:t>
            </w:r>
          </w:p>
        </w:tc>
        <w:tc>
          <w:tcPr>
            <w:tcW w:w="142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平方米</w:t>
            </w: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center"/>
              <w:textAlignment w:val="center"/>
              <w:rPr>
                <w:rFonts w:ascii="仿宋_GB2312" w:hAnsi="仿宋_GB2312" w:eastAsia="仿宋_GB2312" w:cs="仿宋_GB2312"/>
                <w:sz w:val="30"/>
                <w:szCs w:val="30"/>
              </w:rPr>
            </w:pPr>
            <w:r>
              <w:rPr>
                <w:rFonts w:hint="eastAsia" w:ascii="仿宋_GB2312" w:hAnsi="仿宋_GB2312" w:eastAsia="仿宋_GB2312" w:cs="仿宋_GB2312"/>
                <w:kern w:val="0"/>
                <w:sz w:val="30"/>
                <w:szCs w:val="30"/>
                <w:lang w:bidi="ar"/>
              </w:rPr>
              <w:t>380</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79" w:lineRule="exact"/>
              <w:jc w:val="left"/>
              <w:rPr>
                <w:rFonts w:ascii="仿宋_GB2312" w:hAnsi="仿宋_GB2312" w:eastAsia="仿宋_GB2312" w:cs="仿宋_GB2312"/>
                <w:sz w:val="30"/>
                <w:szCs w:val="30"/>
              </w:rPr>
            </w:pPr>
          </w:p>
        </w:tc>
      </w:tr>
    </w:tbl>
    <w:p>
      <w:pPr>
        <w:spacing w:line="579" w:lineRule="exact"/>
        <w:rPr>
          <w:rFonts w:ascii="仿宋_GB2312" w:hAnsi="仿宋_GB2312" w:eastAsia="仿宋_GB2312" w:cs="仿宋_GB2312"/>
          <w:b/>
          <w:bCs/>
          <w:sz w:val="44"/>
          <w:szCs w:val="44"/>
        </w:rPr>
      </w:pPr>
    </w:p>
    <w:p>
      <w:pPr>
        <w:spacing w:line="579" w:lineRule="exact"/>
        <w:rPr>
          <w:rStyle w:val="10"/>
          <w:rFonts w:ascii="仿宋_GB2312" w:hAnsi="仿宋_GB2312" w:eastAsia="仿宋_GB2312" w:cs="仿宋_GB2312"/>
          <w:sz w:val="32"/>
          <w:szCs w:val="32"/>
        </w:rPr>
      </w:pPr>
    </w:p>
    <w:p>
      <w:pPr>
        <w:spacing w:line="579" w:lineRule="exact"/>
        <w:rPr>
          <w:rStyle w:val="10"/>
          <w:rFonts w:ascii="黑体" w:hAnsi="黑体" w:eastAsia="黑体" w:cs="黑体"/>
          <w:sz w:val="32"/>
          <w:szCs w:val="32"/>
        </w:rPr>
      </w:pPr>
      <w:r>
        <w:rPr>
          <w:rStyle w:val="10"/>
          <w:rFonts w:hint="eastAsia" w:ascii="黑体" w:hAnsi="黑体" w:eastAsia="黑体" w:cs="黑体"/>
          <w:sz w:val="32"/>
          <w:szCs w:val="32"/>
        </w:rPr>
        <w:t>附件7</w:t>
      </w:r>
    </w:p>
    <w:p>
      <w:pPr>
        <w:spacing w:line="579" w:lineRule="exact"/>
        <w:rPr>
          <w:rStyle w:val="10"/>
          <w:rFonts w:ascii="仿宋_GB2312" w:hAnsi="仿宋_GB2312" w:eastAsia="仿宋_GB2312" w:cs="仿宋_GB2312"/>
          <w:sz w:val="32"/>
          <w:szCs w:val="32"/>
        </w:rPr>
      </w:pPr>
    </w:p>
    <w:p>
      <w:pPr>
        <w:spacing w:line="579" w:lineRule="exact"/>
        <w:jc w:val="center"/>
        <w:rPr>
          <w:rStyle w:val="10"/>
          <w:rFonts w:ascii="方正小标宋简体" w:hAnsi="方正小标宋简体" w:eastAsia="方正小标宋简体" w:cs="方正小标宋简体"/>
          <w:sz w:val="44"/>
          <w:szCs w:val="44"/>
        </w:rPr>
      </w:pPr>
      <w:r>
        <w:rPr>
          <w:rStyle w:val="10"/>
          <w:rFonts w:hint="eastAsia" w:ascii="方正小标宋简体" w:hAnsi="方正小标宋简体" w:eastAsia="方正小标宋简体" w:cs="方正小标宋简体"/>
          <w:sz w:val="44"/>
          <w:szCs w:val="44"/>
        </w:rPr>
        <w:t>设备搬迁补助标准</w:t>
      </w:r>
    </w:p>
    <w:p>
      <w:pPr>
        <w:spacing w:line="579" w:lineRule="exact"/>
        <w:jc w:val="center"/>
        <w:rPr>
          <w:rStyle w:val="10"/>
          <w:rFonts w:ascii="仿宋_GB2312" w:hAnsi="仿宋_GB2312" w:eastAsia="仿宋_GB2312" w:cs="仿宋_GB2312"/>
          <w:b/>
          <w:sz w:val="44"/>
          <w:szCs w:val="44"/>
        </w:rPr>
      </w:pPr>
    </w:p>
    <w:tbl>
      <w:tblPr>
        <w:tblStyle w:val="6"/>
        <w:tblW w:w="96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36"/>
        <w:gridCol w:w="49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jc w:val="center"/>
        </w:trPr>
        <w:tc>
          <w:tcPr>
            <w:tcW w:w="4736" w:type="dxa"/>
            <w:vAlign w:val="center"/>
          </w:tcPr>
          <w:p>
            <w:pPr>
              <w:spacing w:line="579" w:lineRule="exact"/>
              <w:jc w:val="center"/>
              <w:rPr>
                <w:rStyle w:val="10"/>
                <w:rFonts w:ascii="黑体" w:hAnsi="黑体" w:eastAsia="黑体" w:cs="黑体"/>
                <w:bCs/>
                <w:sz w:val="32"/>
                <w:szCs w:val="32"/>
              </w:rPr>
            </w:pPr>
            <w:r>
              <w:rPr>
                <w:rStyle w:val="10"/>
                <w:rFonts w:hint="eastAsia" w:ascii="黑体" w:hAnsi="黑体" w:eastAsia="黑体" w:cs="黑体"/>
                <w:bCs/>
                <w:sz w:val="32"/>
                <w:szCs w:val="32"/>
              </w:rPr>
              <w:t>设备名称</w:t>
            </w:r>
          </w:p>
        </w:tc>
        <w:tc>
          <w:tcPr>
            <w:tcW w:w="4928" w:type="dxa"/>
            <w:vAlign w:val="center"/>
          </w:tcPr>
          <w:p>
            <w:pPr>
              <w:spacing w:line="579" w:lineRule="exact"/>
              <w:jc w:val="center"/>
              <w:rPr>
                <w:rStyle w:val="10"/>
                <w:rFonts w:ascii="黑体" w:hAnsi="黑体" w:eastAsia="黑体" w:cs="黑体"/>
                <w:bCs/>
                <w:sz w:val="32"/>
                <w:szCs w:val="32"/>
              </w:rPr>
            </w:pPr>
            <w:r>
              <w:rPr>
                <w:rStyle w:val="10"/>
                <w:rFonts w:hint="eastAsia" w:ascii="黑体" w:hAnsi="黑体" w:eastAsia="黑体" w:cs="黑体"/>
                <w:bCs/>
                <w:sz w:val="32"/>
                <w:szCs w:val="32"/>
              </w:rPr>
              <w:t>补助单价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jc w:val="center"/>
        </w:trPr>
        <w:tc>
          <w:tcPr>
            <w:tcW w:w="4736" w:type="dxa"/>
            <w:vAlign w:val="center"/>
          </w:tcPr>
          <w:p>
            <w:pPr>
              <w:spacing w:line="579" w:lineRule="exact"/>
              <w:jc w:val="center"/>
              <w:rPr>
                <w:rStyle w:val="10"/>
                <w:rFonts w:ascii="仿宋_GB2312" w:hAnsi="仿宋_GB2312" w:eastAsia="仿宋_GB2312" w:cs="仿宋_GB2312"/>
                <w:sz w:val="30"/>
                <w:szCs w:val="30"/>
              </w:rPr>
            </w:pPr>
            <w:r>
              <w:rPr>
                <w:rStyle w:val="10"/>
                <w:rFonts w:hint="eastAsia" w:ascii="仿宋_GB2312" w:hAnsi="仿宋_GB2312" w:eastAsia="仿宋_GB2312" w:cs="仿宋_GB2312"/>
                <w:sz w:val="30"/>
                <w:szCs w:val="30"/>
              </w:rPr>
              <w:t>2-5吨</w:t>
            </w:r>
          </w:p>
        </w:tc>
        <w:tc>
          <w:tcPr>
            <w:tcW w:w="4928" w:type="dxa"/>
            <w:vAlign w:val="center"/>
          </w:tcPr>
          <w:p>
            <w:pPr>
              <w:spacing w:line="579" w:lineRule="exact"/>
              <w:jc w:val="center"/>
              <w:rPr>
                <w:rStyle w:val="10"/>
                <w:rFonts w:ascii="仿宋_GB2312" w:hAnsi="仿宋_GB2312" w:eastAsia="仿宋_GB2312" w:cs="仿宋_GB2312"/>
                <w:sz w:val="30"/>
                <w:szCs w:val="30"/>
              </w:rPr>
            </w:pPr>
            <w:r>
              <w:rPr>
                <w:rStyle w:val="10"/>
                <w:rFonts w:hint="eastAsia" w:ascii="仿宋_GB2312" w:hAnsi="仿宋_GB2312" w:eastAsia="仿宋_GB2312" w:cs="仿宋_GB2312"/>
                <w:sz w:val="30"/>
                <w:szCs w:val="30"/>
              </w:rPr>
              <w:t>500-1000元/台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jc w:val="center"/>
        </w:trPr>
        <w:tc>
          <w:tcPr>
            <w:tcW w:w="4736" w:type="dxa"/>
            <w:vAlign w:val="center"/>
          </w:tcPr>
          <w:p>
            <w:pPr>
              <w:spacing w:line="579" w:lineRule="exact"/>
              <w:jc w:val="center"/>
              <w:rPr>
                <w:rStyle w:val="10"/>
                <w:rFonts w:ascii="仿宋_GB2312" w:hAnsi="仿宋_GB2312" w:eastAsia="仿宋_GB2312" w:cs="仿宋_GB2312"/>
                <w:sz w:val="30"/>
                <w:szCs w:val="30"/>
              </w:rPr>
            </w:pPr>
            <w:r>
              <w:rPr>
                <w:rStyle w:val="10"/>
                <w:rFonts w:hint="eastAsia" w:ascii="仿宋_GB2312" w:hAnsi="仿宋_GB2312" w:eastAsia="仿宋_GB2312" w:cs="仿宋_GB2312"/>
                <w:sz w:val="30"/>
                <w:szCs w:val="30"/>
              </w:rPr>
              <w:t>5-10吨</w:t>
            </w:r>
          </w:p>
        </w:tc>
        <w:tc>
          <w:tcPr>
            <w:tcW w:w="4928" w:type="dxa"/>
            <w:vAlign w:val="center"/>
          </w:tcPr>
          <w:p>
            <w:pPr>
              <w:spacing w:line="579" w:lineRule="exact"/>
              <w:jc w:val="center"/>
              <w:rPr>
                <w:rStyle w:val="10"/>
                <w:rFonts w:ascii="仿宋_GB2312" w:hAnsi="仿宋_GB2312" w:eastAsia="仿宋_GB2312" w:cs="仿宋_GB2312"/>
                <w:sz w:val="30"/>
                <w:szCs w:val="30"/>
              </w:rPr>
            </w:pPr>
            <w:r>
              <w:rPr>
                <w:rStyle w:val="10"/>
                <w:rFonts w:hint="eastAsia" w:ascii="仿宋_GB2312" w:hAnsi="仿宋_GB2312" w:eastAsia="仿宋_GB2312" w:cs="仿宋_GB2312"/>
                <w:sz w:val="30"/>
                <w:szCs w:val="30"/>
              </w:rPr>
              <w:t>1100—2000元/台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jc w:val="center"/>
        </w:trPr>
        <w:tc>
          <w:tcPr>
            <w:tcW w:w="4736" w:type="dxa"/>
            <w:vAlign w:val="center"/>
          </w:tcPr>
          <w:p>
            <w:pPr>
              <w:spacing w:line="579" w:lineRule="exact"/>
              <w:jc w:val="center"/>
              <w:rPr>
                <w:rStyle w:val="10"/>
                <w:rFonts w:ascii="仿宋_GB2312" w:hAnsi="仿宋_GB2312" w:eastAsia="仿宋_GB2312" w:cs="仿宋_GB2312"/>
                <w:sz w:val="30"/>
                <w:szCs w:val="30"/>
              </w:rPr>
            </w:pPr>
            <w:r>
              <w:rPr>
                <w:rStyle w:val="10"/>
                <w:rFonts w:hint="eastAsia" w:ascii="仿宋_GB2312" w:hAnsi="仿宋_GB2312" w:eastAsia="仿宋_GB2312" w:cs="仿宋_GB2312"/>
                <w:sz w:val="30"/>
                <w:szCs w:val="30"/>
              </w:rPr>
              <w:t>10-15吨</w:t>
            </w:r>
          </w:p>
        </w:tc>
        <w:tc>
          <w:tcPr>
            <w:tcW w:w="4928" w:type="dxa"/>
            <w:vAlign w:val="center"/>
          </w:tcPr>
          <w:p>
            <w:pPr>
              <w:spacing w:line="579" w:lineRule="exact"/>
              <w:jc w:val="center"/>
              <w:rPr>
                <w:rStyle w:val="10"/>
                <w:rFonts w:ascii="仿宋_GB2312" w:hAnsi="仿宋_GB2312" w:eastAsia="仿宋_GB2312" w:cs="仿宋_GB2312"/>
                <w:sz w:val="30"/>
                <w:szCs w:val="30"/>
              </w:rPr>
            </w:pPr>
            <w:r>
              <w:rPr>
                <w:rStyle w:val="10"/>
                <w:rFonts w:hint="eastAsia" w:ascii="仿宋_GB2312" w:hAnsi="仿宋_GB2312" w:eastAsia="仿宋_GB2312" w:cs="仿宋_GB2312"/>
                <w:sz w:val="30"/>
                <w:szCs w:val="30"/>
              </w:rPr>
              <w:t>2100—3000元/台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jc w:val="center"/>
        </w:trPr>
        <w:tc>
          <w:tcPr>
            <w:tcW w:w="4736" w:type="dxa"/>
            <w:vAlign w:val="center"/>
          </w:tcPr>
          <w:p>
            <w:pPr>
              <w:spacing w:line="579" w:lineRule="exact"/>
              <w:jc w:val="center"/>
              <w:rPr>
                <w:rStyle w:val="10"/>
                <w:rFonts w:ascii="仿宋_GB2312" w:hAnsi="仿宋_GB2312" w:eastAsia="仿宋_GB2312" w:cs="仿宋_GB2312"/>
                <w:sz w:val="30"/>
                <w:szCs w:val="30"/>
              </w:rPr>
            </w:pPr>
            <w:r>
              <w:rPr>
                <w:rStyle w:val="10"/>
                <w:rFonts w:hint="eastAsia" w:ascii="仿宋_GB2312" w:hAnsi="仿宋_GB2312" w:eastAsia="仿宋_GB2312" w:cs="仿宋_GB2312"/>
                <w:sz w:val="30"/>
                <w:szCs w:val="30"/>
              </w:rPr>
              <w:t>15吨以上</w:t>
            </w:r>
          </w:p>
        </w:tc>
        <w:tc>
          <w:tcPr>
            <w:tcW w:w="4928" w:type="dxa"/>
            <w:vAlign w:val="center"/>
          </w:tcPr>
          <w:p>
            <w:pPr>
              <w:spacing w:line="579" w:lineRule="exact"/>
              <w:jc w:val="center"/>
              <w:rPr>
                <w:rStyle w:val="10"/>
                <w:rFonts w:ascii="仿宋_GB2312" w:hAnsi="仿宋_GB2312" w:eastAsia="仿宋_GB2312" w:cs="仿宋_GB2312"/>
                <w:sz w:val="30"/>
                <w:szCs w:val="30"/>
              </w:rPr>
            </w:pPr>
            <w:r>
              <w:rPr>
                <w:rStyle w:val="10"/>
                <w:rFonts w:hint="eastAsia" w:ascii="仿宋_GB2312" w:hAnsi="仿宋_GB2312" w:eastAsia="仿宋_GB2312" w:cs="仿宋_GB2312"/>
                <w:sz w:val="30"/>
                <w:szCs w:val="30"/>
              </w:rPr>
              <w:t>4000元/台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jc w:val="center"/>
        </w:trPr>
        <w:tc>
          <w:tcPr>
            <w:tcW w:w="4736" w:type="dxa"/>
            <w:vAlign w:val="center"/>
          </w:tcPr>
          <w:p>
            <w:pPr>
              <w:spacing w:line="579" w:lineRule="exact"/>
              <w:jc w:val="center"/>
              <w:rPr>
                <w:rStyle w:val="10"/>
                <w:rFonts w:ascii="仿宋_GB2312" w:hAnsi="仿宋_GB2312" w:eastAsia="仿宋_GB2312" w:cs="仿宋_GB2312"/>
                <w:sz w:val="30"/>
                <w:szCs w:val="30"/>
              </w:rPr>
            </w:pPr>
            <w:r>
              <w:rPr>
                <w:rStyle w:val="10"/>
                <w:rFonts w:hint="eastAsia" w:ascii="仿宋_GB2312" w:hAnsi="仿宋_GB2312" w:eastAsia="仿宋_GB2312" w:cs="仿宋_GB2312"/>
                <w:sz w:val="30"/>
                <w:szCs w:val="30"/>
              </w:rPr>
              <w:t>行吊</w:t>
            </w:r>
          </w:p>
        </w:tc>
        <w:tc>
          <w:tcPr>
            <w:tcW w:w="4928" w:type="dxa"/>
            <w:vAlign w:val="center"/>
          </w:tcPr>
          <w:p>
            <w:pPr>
              <w:spacing w:line="579" w:lineRule="exact"/>
              <w:jc w:val="center"/>
              <w:rPr>
                <w:rStyle w:val="10"/>
                <w:rFonts w:ascii="仿宋_GB2312" w:hAnsi="仿宋_GB2312" w:eastAsia="仿宋_GB2312" w:cs="仿宋_GB2312"/>
                <w:sz w:val="30"/>
                <w:szCs w:val="30"/>
              </w:rPr>
            </w:pPr>
            <w:r>
              <w:rPr>
                <w:rStyle w:val="10"/>
                <w:rFonts w:hint="eastAsia" w:ascii="仿宋_GB2312" w:hAnsi="仿宋_GB2312" w:eastAsia="仿宋_GB2312" w:cs="仿宋_GB2312"/>
                <w:sz w:val="30"/>
                <w:szCs w:val="30"/>
              </w:rPr>
              <w:t>6000元/台</w:t>
            </w:r>
          </w:p>
        </w:tc>
      </w:tr>
    </w:tbl>
    <w:p>
      <w:pPr>
        <w:spacing w:line="579" w:lineRule="exact"/>
        <w:rPr>
          <w:rStyle w:val="10"/>
          <w:rFonts w:ascii="仿宋_GB2312" w:hAnsi="仿宋_GB2312" w:eastAsia="仿宋_GB2312" w:cs="仿宋_GB2312"/>
          <w:sz w:val="32"/>
          <w:szCs w:val="32"/>
        </w:rPr>
      </w:pPr>
    </w:p>
    <w:p>
      <w:pPr>
        <w:spacing w:line="579" w:lineRule="exact"/>
        <w:rPr>
          <w:rStyle w:val="10"/>
          <w:rFonts w:ascii="仿宋_GB2312" w:hAnsi="仿宋_GB2312" w:eastAsia="仿宋_GB2312" w:cs="仿宋_GB2312"/>
          <w:sz w:val="32"/>
          <w:szCs w:val="32"/>
        </w:rPr>
      </w:pPr>
    </w:p>
    <w:p>
      <w:pPr>
        <w:spacing w:line="579" w:lineRule="exact"/>
        <w:rPr>
          <w:rStyle w:val="10"/>
          <w:rFonts w:ascii="仿宋_GB2312" w:hAnsi="仿宋_GB2312" w:eastAsia="仿宋_GB2312" w:cs="仿宋_GB2312"/>
          <w:sz w:val="32"/>
          <w:szCs w:val="32"/>
        </w:rPr>
      </w:pPr>
    </w:p>
    <w:p>
      <w:pPr>
        <w:spacing w:line="579" w:lineRule="exact"/>
        <w:rPr>
          <w:rStyle w:val="10"/>
          <w:rFonts w:ascii="仿宋_GB2312" w:hAnsi="仿宋_GB2312" w:eastAsia="仿宋_GB2312" w:cs="仿宋_GB2312"/>
          <w:sz w:val="32"/>
          <w:szCs w:val="32"/>
        </w:rPr>
      </w:pPr>
    </w:p>
    <w:p>
      <w:pPr>
        <w:spacing w:line="579" w:lineRule="exact"/>
        <w:jc w:val="center"/>
        <w:rPr>
          <w:rStyle w:val="10"/>
          <w:rFonts w:ascii="仿宋_GB2312" w:hAnsi="仿宋_GB2312" w:eastAsia="仿宋_GB2312" w:cs="仿宋_GB2312"/>
          <w:sz w:val="30"/>
          <w:szCs w:val="30"/>
        </w:rPr>
      </w:pPr>
    </w:p>
    <w:p>
      <w:pPr>
        <w:spacing w:line="579" w:lineRule="exact"/>
        <w:rPr>
          <w:rStyle w:val="10"/>
          <w:rFonts w:ascii="仿宋_GB2312" w:hAnsi="仿宋_GB2312" w:eastAsia="仿宋_GB2312" w:cs="仿宋_GB2312"/>
          <w:sz w:val="30"/>
          <w:szCs w:val="30"/>
        </w:rPr>
      </w:pPr>
    </w:p>
    <w:p>
      <w:pPr>
        <w:spacing w:line="579" w:lineRule="exact"/>
        <w:rPr>
          <w:rStyle w:val="10"/>
          <w:rFonts w:ascii="仿宋_GB2312" w:hAnsi="仿宋_GB2312" w:eastAsia="仿宋_GB2312" w:cs="仿宋_GB2312"/>
          <w:sz w:val="44"/>
          <w:szCs w:val="44"/>
        </w:rPr>
      </w:pPr>
    </w:p>
    <w:p>
      <w:pPr>
        <w:spacing w:line="579" w:lineRule="exact"/>
        <w:rPr>
          <w:rStyle w:val="10"/>
          <w:rFonts w:ascii="仿宋_GB2312" w:hAnsi="仿宋_GB2312" w:eastAsia="仿宋_GB2312" w:cs="仿宋_GB2312"/>
          <w:sz w:val="44"/>
          <w:szCs w:val="44"/>
        </w:rPr>
      </w:pPr>
    </w:p>
    <w:p>
      <w:pPr>
        <w:spacing w:line="579" w:lineRule="exact"/>
        <w:rPr>
          <w:rStyle w:val="10"/>
          <w:rFonts w:ascii="仿宋_GB2312" w:hAnsi="仿宋_GB2312" w:eastAsia="仿宋_GB2312" w:cs="仿宋_GB2312"/>
          <w:sz w:val="44"/>
          <w:szCs w:val="44"/>
        </w:rPr>
      </w:pPr>
    </w:p>
    <w:tbl>
      <w:tblPr>
        <w:tblStyle w:val="7"/>
        <w:tblpPr w:leftFromText="180" w:rightFromText="180" w:vertAnchor="text" w:horzAnchor="page" w:tblpX="1699" w:tblpY="1056"/>
        <w:tblOverlap w:val="never"/>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846"/>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24" w:hRule="atLeast"/>
        </w:trPr>
        <w:tc>
          <w:tcPr>
            <w:tcW w:w="8846" w:type="dxa"/>
            <w:tcBorders>
              <w:tl2br w:val="nil"/>
              <w:tr2bl w:val="nil"/>
            </w:tcBorders>
          </w:tcPr>
          <w:p>
            <w:pPr>
              <w:widowControl/>
              <w:spacing w:line="579" w:lineRule="exact"/>
              <w:rPr>
                <w:rFonts w:ascii="仿宋_GB2312" w:hAnsi="仿宋_GB2312" w:eastAsia="仿宋_GB2312" w:cs="仿宋_GB2312"/>
              </w:rPr>
            </w:pPr>
            <w:r>
              <w:rPr>
                <w:rFonts w:hint="eastAsia" w:ascii="仿宋_GB2312" w:hAnsi="仿宋_GB2312" w:eastAsia="仿宋_GB2312" w:cs="仿宋_GB2312"/>
                <w:sz w:val="28"/>
                <w:szCs w:val="28"/>
              </w:rPr>
              <w:t xml:space="preserve">  泉州市丰泽区人民政府办公室           2022年10月28日印发</w:t>
            </w:r>
          </w:p>
        </w:tc>
      </w:tr>
    </w:tbl>
    <w:p>
      <w:pPr>
        <w:spacing w:line="579" w:lineRule="exact"/>
        <w:rPr>
          <w:rStyle w:val="10"/>
          <w:rFonts w:ascii="仿宋_GB2312" w:hAnsi="仿宋_GB2312" w:eastAsia="仿宋_GB2312" w:cs="仿宋_GB2312"/>
          <w:sz w:val="44"/>
          <w:szCs w:val="44"/>
        </w:rPr>
      </w:pPr>
      <w:r>
        <w:rPr>
          <w:rFonts w:hint="eastAsia" w:ascii="仿宋_GB2312" w:hAnsi="仿宋_GB2312" w:eastAsia="仿宋_GB2312" w:cs="仿宋_GB2312"/>
        </w:rPr>
        <mc:AlternateContent>
          <mc:Choice Requires="wps">
            <w:drawing>
              <wp:anchor distT="0" distB="0" distL="114300" distR="114300" simplePos="0" relativeHeight="251662336"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 name="自选图形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635000" cy="635000"/>
                        </a:xfrm>
                        <a:custGeom>
                          <a:avLst/>
                          <a:gdLst>
                            <a:gd name="txL" fmla="*/ 3163 w 21600"/>
                            <a:gd name="txT" fmla="*/ 3163 h 21600"/>
                            <a:gd name="txR" fmla="*/ 18437 w 21600"/>
                            <a:gd name="txB" fmla="*/ 18437 h 21600"/>
                          </a:gdLst>
                          <a:ahLst/>
                          <a:cxnLst>
                            <a:cxn ang="180">
                              <a:pos x="0" y="10800"/>
                            </a:cxn>
                            <a:cxn ang="0">
                              <a:pos x="16200" y="10800"/>
                            </a:cxn>
                            <a:cxn ang="270">
                              <a:pos x="10800" y="10800"/>
                            </a:cxn>
                            <a:cxn ang="0">
                              <a:pos x="24300" y="10800"/>
                            </a:cxn>
                            <a:cxn ang="90">
                              <a:pos x="16200" y="18900"/>
                            </a:cxn>
                            <a:cxn ang="180">
                              <a:pos x="8100" y="10800"/>
                            </a:cxn>
                          </a:cxnLst>
                          <a:rect l="txL" t="txT" r="txR" b="txB"/>
                          <a:pathLst>
                            <a:path w="21600" h="21600">
                              <a:moveTo>
                                <a:pt x="10800" y="10800"/>
                              </a:moveTo>
                              <a:arcTo wR="0" hR="0" stAng="0" swAng="-21600000"/>
                              <a:lnTo>
                                <a:pt x="21600" y="10800"/>
                              </a:lnTo>
                              <a:arcTo wR="10800" hR="10800" stAng="0" swAng="21600000"/>
                              <a:lnTo>
                                <a:pt x="24300" y="10800"/>
                              </a:lnTo>
                              <a:lnTo>
                                <a:pt x="16200" y="18900"/>
                              </a:lnTo>
                              <a:lnTo>
                                <a:pt x="8100" y="10800"/>
                              </a:lnTo>
                              <a:lnTo>
                                <a:pt x="10800" y="10800"/>
                              </a:lnTo>
                              <a:close/>
                            </a:path>
                          </a:pathLst>
                        </a:cu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4" o:spid="_x0000_s1026" o:spt="100" style="position:absolute;left:0pt;margin-left:0pt;margin-top:0pt;height:50pt;width:50pt;visibility:hidden;z-index:251662336;mso-width-relative:page;mso-height-relative:page;" fillcolor="#FFFFFF" filled="t" stroked="t" coordsize="21600,21600" o:gfxdata="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" path="m10800,10800l10800,10800,21600,10800c21600,16765,16765,21600,10800,21600c4835,21600,0,16765,0,10800c0,4835,4835,0,10800,0c16765,0,21600,4835,21600,10800l24300,10800,16200,18900,8100,10800,10800,10800xe">
                <v:path o:connectlocs="0,10800;16200,10800;10800,10800;24300,10800;16200,18900;8100,10800" o:connectangles="0,0,0,0,0,0"/>
                <v:fill on="t" focussize="0,0"/>
                <v:stroke color="#000000" joinstyle="miter"/>
                <v:imagedata o:title=""/>
                <o:lock v:ext="edit" selection="t" aspectratio="f"/>
              </v:shape>
            </w:pict>
          </mc:Fallback>
        </mc:AlternateContent>
      </w:r>
    </w:p>
    <w:sectPr>
      <w:headerReference r:id="rId3" w:type="default"/>
      <w:footerReference r:id="rId5" w:type="default"/>
      <w:headerReference r:id="rId4" w:type="even"/>
      <w:footerReference r:id="rId6" w:type="even"/>
      <w:pgSz w:w="11906" w:h="16838"/>
      <w:pgMar w:top="2098" w:right="1474" w:bottom="1984" w:left="1587" w:header="851" w:footer="992" w:gutter="0"/>
      <w:cols w:space="0" w:num="1"/>
      <w:docGrid w:type="linesAndChars" w:linePitch="317" w:charSpace="6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Style w:val="10"/>
      </w:rPr>
    </w:pPr>
    <w:r>
      <mc:AlternateContent>
        <mc:Choice Requires="wps">
          <w:drawing>
            <wp:anchor distT="0" distB="0" distL="114300" distR="114300" simplePos="0" relativeHeight="251661312" behindDoc="0" locked="0" layoutInCell="1" allowOverlap="1">
              <wp:simplePos x="0" y="0"/>
              <wp:positionH relativeFrom="margin">
                <wp:posOffset>4757420</wp:posOffset>
              </wp:positionH>
              <wp:positionV relativeFrom="paragraph">
                <wp:posOffset>0</wp:posOffset>
              </wp:positionV>
              <wp:extent cx="859155" cy="1828800"/>
              <wp:effectExtent l="0" t="0" r="0" b="0"/>
              <wp:wrapNone/>
              <wp:docPr id="7" name="文本框 3"/>
              <wp:cNvGraphicFramePr/>
              <a:graphic xmlns:a="http://schemas.openxmlformats.org/drawingml/2006/main">
                <a:graphicData uri="http://schemas.microsoft.com/office/word/2010/wordprocessingShape">
                  <wps:wsp>
                    <wps:cNvSpPr txBox="1"/>
                    <wps:spPr>
                      <a:xfrm>
                        <a:off x="0" y="0"/>
                        <a:ext cx="859155" cy="1828800"/>
                      </a:xfrm>
                      <a:prstGeom prst="rect">
                        <a:avLst/>
                      </a:prstGeom>
                      <a:noFill/>
                      <a:ln w="9525">
                        <a:noFill/>
                      </a:ln>
                    </wps:spPr>
                    <wps:txbx>
                      <w:txbxContent>
                        <w:p>
                          <w:pPr>
                            <w:snapToGrid w:val="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vert="horz" wrap="square" lIns="0" tIns="0" rIns="0" bIns="0" anchor="t">
                      <a:spAutoFit/>
                    </wps:bodyPr>
                  </wps:wsp>
                </a:graphicData>
              </a:graphic>
            </wp:anchor>
          </w:drawing>
        </mc:Choice>
        <mc:Fallback>
          <w:pict>
            <v:shape id="文本框 3" o:spid="_x0000_s1026" o:spt="202" type="#_x0000_t202" style="position:absolute;left:0pt;margin-left:374.6pt;margin-top:0pt;height:144pt;width:67.65pt;mso-position-horizontal-relative:margin;z-index:251661312;mso-width-relative:page;mso-height-relative:page;" filled="f" stroked="f" coordsize="21600,21600" o:gfxdata="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2/+yz1QAAAAgBAAAPAAAA&#10;AAAAAAEAIAAAACIAAABkcnMvZG93bnJldi54bWxQSwECFAAUAAAACACHTuJApgT97N8BAACuAwAA&#10;DgAAAAAAAAABACAAAAAkAQAAZHJzL2Uyb0RvYy54bWxQSwUGAAAAAAYABgBZAQAAdQUAAAAA&#10;">
              <v:fill on="f" focussize="0,0"/>
              <v:stroke on="f"/>
              <v:imagedata o:title=""/>
              <o:lock v:ext="edit" aspectratio="f"/>
              <v:textbox inset="0mm,0mm,0mm,0mm" style="mso-fit-shape-to-text:t;">
                <w:txbxContent>
                  <w:p>
                    <w:pPr>
                      <w:snapToGrid w:val="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5732145</wp:posOffset>
              </wp:positionH>
              <wp:positionV relativeFrom="paragraph">
                <wp:posOffset>-99060</wp:posOffset>
              </wp:positionV>
              <wp:extent cx="622935" cy="230505"/>
              <wp:effectExtent l="0" t="0" r="0" b="0"/>
              <wp:wrapNone/>
              <wp:docPr id="5" name="文本框 1"/>
              <wp:cNvGraphicFramePr/>
              <a:graphic xmlns:a="http://schemas.openxmlformats.org/drawingml/2006/main">
                <a:graphicData uri="http://schemas.microsoft.com/office/word/2010/wordprocessingShape">
                  <wps:wsp>
                    <wps:cNvSpPr txBox="1"/>
                    <wps:spPr>
                      <a:xfrm>
                        <a:off x="0" y="0"/>
                        <a:ext cx="622935" cy="230505"/>
                      </a:xfrm>
                      <a:prstGeom prst="rect">
                        <a:avLst/>
                      </a:prstGeom>
                      <a:noFill/>
                      <a:ln w="9525">
                        <a:noFill/>
                      </a:ln>
                    </wps:spPr>
                    <wps:txbx>
                      <w:txbxContent>
                        <w:p/>
                      </w:txbxContent>
                    </wps:txbx>
                    <wps:bodyPr lIns="0" tIns="0" rIns="0" bIns="0" upright="1"/>
                  </wps:wsp>
                </a:graphicData>
              </a:graphic>
            </wp:anchor>
          </w:drawing>
        </mc:Choice>
        <mc:Fallback>
          <w:pict>
            <v:shape id="文本框 1" o:spid="_x0000_s1026" o:spt="202" type="#_x0000_t202" style="position:absolute;left:0pt;margin-left:451.35pt;margin-top:-7.8pt;height:18.15pt;width:49.05pt;mso-position-horizontal-relative:page;z-index:251659264;mso-width-relative:page;mso-height-relative:page;" filled="f" stroked="f" coordsize="21600,21600" o:gfxdata="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sK0QXZAAAACwEAAA8AAAAAAAAAAQAgAAAAIgAAAGRycy9kb3ducmV2&#10;LnhtbFBLAQIUABQAAAAIAIdO4kDYEx8uwgEAAHoDAAAOAAAAAAAAAAEAIAAAACgBAABkcnMvZTJv&#10;RG9jLnhtbFBLBQYAAAAABgAGAFkBAABcBQAAAAA=&#10;">
              <v:fill on="f" focussize="0,0"/>
              <v:stroke on="f"/>
              <v:imagedata o:title=""/>
              <o:lock v:ext="edit" aspectratio="f"/>
              <v:textbox inset="0mm,0mm,0mm,0mm">
                <w:txbxContent>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6" name="文本框 2"/>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9525">
                        <a:noFill/>
                      </a:ln>
                    </wps:spPr>
                    <wps:txbx>
                      <w:txbxContent>
                        <w:p/>
                      </w:txbxContent>
                    </wps:txbx>
                    <wps:bodyPr lIns="0" tIns="0" rIns="0" bIns="0" upright="1"/>
                  </wps:wsp>
                </a:graphicData>
              </a:graphic>
            </wp:anchor>
          </w:drawing>
        </mc:Choice>
        <mc:Fallback>
          <w:pict>
            <v:shape id="文本框 2" o:spid="_x0000_s1026" o:spt="202" type="#_x0000_t202" style="position:absolute;left:0pt;margin-top:0pt;height:10.35pt;width:4.55pt;mso-position-horizontal:center;mso-position-horizontal-relative:margin;z-index:251660288;mso-width-relative:page;mso-height-relative:page;" filled="f" stroked="f" coordsize="21600,21600" o:gfxdata="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vQ0E3TAAAAAgEAAA8AAAAAAAAAAQAgAAAAIgAAAGRycy9kb3ducmV2LnhtbFBL&#10;AQIUABQAAAAIAIdO4kDLPm5qwgEAAHkDAAAOAAAAAAAAAAEAIAAAACIBAABkcnMvZTJvRG9jLnht&#10;bFBLBQYAAAAABgAGAFkBAABWBQAAAAA=&#10;">
              <v:fill on="f" focussize="0,0"/>
              <v:stroke on="f"/>
              <v:imagedata o:title=""/>
              <o:lock v:ext="edit" aspectratio="f"/>
              <v:textbox inset="0mm,0mm,0mm,0mm">
                <w:txbxContent>
                  <w:p/>
                </w:txbxContent>
              </v:textbox>
            </v:shape>
          </w:pict>
        </mc:Fallback>
      </mc:AlternateContent>
    </w:r>
  </w:p>
  <w:p>
    <w:pPr>
      <w:rPr>
        <w:rStyle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62336" behindDoc="0" locked="0" layoutInCell="1" allowOverlap="1">
              <wp:simplePos x="0" y="0"/>
              <wp:positionH relativeFrom="margin">
                <wp:posOffset>190500</wp:posOffset>
              </wp:positionH>
              <wp:positionV relativeFrom="paragraph">
                <wp:posOffset>0</wp:posOffset>
              </wp:positionV>
              <wp:extent cx="838200" cy="240030"/>
              <wp:effectExtent l="0" t="0" r="0" b="0"/>
              <wp:wrapNone/>
              <wp:docPr id="8" name="文本框 4"/>
              <wp:cNvGraphicFramePr/>
              <a:graphic xmlns:a="http://schemas.openxmlformats.org/drawingml/2006/main">
                <a:graphicData uri="http://schemas.microsoft.com/office/word/2010/wordprocessingShape">
                  <wps:wsp>
                    <wps:cNvSpPr txBox="1"/>
                    <wps:spPr>
                      <a:xfrm>
                        <a:off x="0" y="0"/>
                        <a:ext cx="838200" cy="240030"/>
                      </a:xfrm>
                      <a:prstGeom prst="rect">
                        <a:avLst/>
                      </a:prstGeom>
                      <a:noFill/>
                      <a:ln w="9525">
                        <a:noFill/>
                      </a:ln>
                    </wps:spPr>
                    <wps:txbx>
                      <w:txbxContent>
                        <w:p>
                          <w:pPr>
                            <w:snapToGrid w:val="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vert="horz" wrap="square" lIns="0" tIns="0" rIns="0" bIns="0" anchor="t">
                      <a:noAutofit/>
                    </wps:bodyPr>
                  </wps:wsp>
                </a:graphicData>
              </a:graphic>
            </wp:anchor>
          </w:drawing>
        </mc:Choice>
        <mc:Fallback>
          <w:pict>
            <v:shape id="文本框 4" o:spid="_x0000_s1026" o:spt="202" type="#_x0000_t202" style="position:absolute;left:0pt;margin-left:15pt;margin-top:0pt;height:18.9pt;width:66pt;mso-position-horizontal-relative:margin;z-index:251662336;mso-width-relative:page;mso-height-relative:page;" filled="f" stroked="f" coordsize="21600,21600" o:gfxdata="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9DLey1QAAAAYBAAAPAAAA&#10;AAAAAAEAIAAAACIAAABkcnMvZG93bnJldi54bWxQSwECFAAUAAAACACHTuJAIe4J2d8BAACtAwAA&#10;DgAAAAAAAAABACAAAAAkAQAAZHJzL2Uyb0RvYy54bWxQSwUGAAAAAAYABgBZAQAAdQUAAAAA&#10;">
              <v:fill on="f" focussize="0,0"/>
              <v:stroke on="f"/>
              <v:imagedata o:title=""/>
              <o:lock v:ext="edit" aspectratio="f"/>
              <v:textbox inset="0mm,0mm,0mm,0mm">
                <w:txbxContent>
                  <w:p>
                    <w:pPr>
                      <w:snapToGrid w:val="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rPr>
        <w:rStyle w:val="10"/>
      </w:rPr>
    </w:pPr>
  </w:p>
  <w:p>
    <w:pPr>
      <w:rPr>
        <w:rStyle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NotTrackMoves/>
  <w:documentProtection w:enforcement="0"/>
  <w:defaultTabStop w:val="420"/>
  <w:evenAndOddHeaders w:val="1"/>
  <w:drawingGridHorizontalSpacing w:val="107"/>
  <w:drawingGridVerticalSpacing w:val="159"/>
  <w:doNotUseMarginsForDrawingGridOrigin w:val="1"/>
  <w:drawingGridHorizontalOrigin w:val="1800"/>
  <w:drawingGridVerticalOrigin w:val="1440"/>
  <w:noPunctuationKerning w:val="1"/>
  <w:characterSpacingControl w:val="doNotCompress"/>
  <w:noLineBreaksAfter w:lang="zh-CN" w:val="$([{£¥·‘“〈《「『【〔〖〝﹙﹛﹝＄（．［｛￡￥"/>
  <w:noLineBreaksBefore w:lang="zh-CN" w:val="!%),.:;&gt;?]}¢¨°·ˇˉ―‖’”…‰′″›℃∶、。〃〉》」』】〕〗〞︶︺︾﹀﹄﹚﹜﹞！＂％＇），．：；？］｀｜｝～￠"/>
  <w:compat>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3N2Y3Yzg1ZGFjZDIwZGZiYzcwYmFiMjY0N2NjYWYifQ=="/>
  </w:docVars>
  <w:rsids>
    <w:rsidRoot w:val="003431AA"/>
    <w:rsid w:val="000118A6"/>
    <w:rsid w:val="000B2A12"/>
    <w:rsid w:val="000B7F9A"/>
    <w:rsid w:val="000B7F9E"/>
    <w:rsid w:val="000D4124"/>
    <w:rsid w:val="00106EF7"/>
    <w:rsid w:val="00125861"/>
    <w:rsid w:val="00171829"/>
    <w:rsid w:val="001A4890"/>
    <w:rsid w:val="001E2AC7"/>
    <w:rsid w:val="001F2A41"/>
    <w:rsid w:val="00236978"/>
    <w:rsid w:val="00244BFE"/>
    <w:rsid w:val="00251559"/>
    <w:rsid w:val="00266477"/>
    <w:rsid w:val="002A52A7"/>
    <w:rsid w:val="002B3E69"/>
    <w:rsid w:val="003431AA"/>
    <w:rsid w:val="003B0CBC"/>
    <w:rsid w:val="003C0824"/>
    <w:rsid w:val="003F2EE5"/>
    <w:rsid w:val="00405E77"/>
    <w:rsid w:val="00426D1A"/>
    <w:rsid w:val="004C384E"/>
    <w:rsid w:val="004F4CE9"/>
    <w:rsid w:val="005003B2"/>
    <w:rsid w:val="00584F12"/>
    <w:rsid w:val="00605416"/>
    <w:rsid w:val="00635FEB"/>
    <w:rsid w:val="0066795B"/>
    <w:rsid w:val="00685B92"/>
    <w:rsid w:val="006912CD"/>
    <w:rsid w:val="00695625"/>
    <w:rsid w:val="00712BB4"/>
    <w:rsid w:val="0078239A"/>
    <w:rsid w:val="007A37B0"/>
    <w:rsid w:val="007C2AF7"/>
    <w:rsid w:val="007D4CFF"/>
    <w:rsid w:val="007E5231"/>
    <w:rsid w:val="00844285"/>
    <w:rsid w:val="009400C2"/>
    <w:rsid w:val="00945A91"/>
    <w:rsid w:val="00952D68"/>
    <w:rsid w:val="00962CD9"/>
    <w:rsid w:val="009F0A1C"/>
    <w:rsid w:val="00A05D84"/>
    <w:rsid w:val="00A77323"/>
    <w:rsid w:val="00AA2AB1"/>
    <w:rsid w:val="00B04DAE"/>
    <w:rsid w:val="00B21BC5"/>
    <w:rsid w:val="00B75B87"/>
    <w:rsid w:val="00BA2383"/>
    <w:rsid w:val="00BC0871"/>
    <w:rsid w:val="00BF52BD"/>
    <w:rsid w:val="00BF76A4"/>
    <w:rsid w:val="00C26916"/>
    <w:rsid w:val="00C528D4"/>
    <w:rsid w:val="00C82AC1"/>
    <w:rsid w:val="00CC1256"/>
    <w:rsid w:val="00D3244E"/>
    <w:rsid w:val="00D73C27"/>
    <w:rsid w:val="00D97F10"/>
    <w:rsid w:val="00DA528B"/>
    <w:rsid w:val="00DC1D39"/>
    <w:rsid w:val="00DC6458"/>
    <w:rsid w:val="00F67455"/>
    <w:rsid w:val="00FF6689"/>
    <w:rsid w:val="01086C64"/>
    <w:rsid w:val="014852B3"/>
    <w:rsid w:val="018C1643"/>
    <w:rsid w:val="01FB0577"/>
    <w:rsid w:val="021A09FD"/>
    <w:rsid w:val="02385327"/>
    <w:rsid w:val="02485001"/>
    <w:rsid w:val="02510197"/>
    <w:rsid w:val="0273635F"/>
    <w:rsid w:val="027F2F56"/>
    <w:rsid w:val="02CB7F49"/>
    <w:rsid w:val="02D52B76"/>
    <w:rsid w:val="02E37041"/>
    <w:rsid w:val="03035935"/>
    <w:rsid w:val="03897A5F"/>
    <w:rsid w:val="038C76D9"/>
    <w:rsid w:val="04AC5B58"/>
    <w:rsid w:val="05300538"/>
    <w:rsid w:val="05353DA0"/>
    <w:rsid w:val="05432916"/>
    <w:rsid w:val="05524952"/>
    <w:rsid w:val="05614B95"/>
    <w:rsid w:val="05B42F17"/>
    <w:rsid w:val="05C869C2"/>
    <w:rsid w:val="05CC64B2"/>
    <w:rsid w:val="060317A8"/>
    <w:rsid w:val="063D115E"/>
    <w:rsid w:val="06BD404D"/>
    <w:rsid w:val="06CB49BC"/>
    <w:rsid w:val="071A149F"/>
    <w:rsid w:val="07416A2C"/>
    <w:rsid w:val="0777244E"/>
    <w:rsid w:val="077E558A"/>
    <w:rsid w:val="07AB0349"/>
    <w:rsid w:val="086B4385"/>
    <w:rsid w:val="09086758"/>
    <w:rsid w:val="093A7BD7"/>
    <w:rsid w:val="095011A8"/>
    <w:rsid w:val="096609CC"/>
    <w:rsid w:val="0A2F5262"/>
    <w:rsid w:val="0ABA2D7D"/>
    <w:rsid w:val="0ADD663E"/>
    <w:rsid w:val="0B466DE2"/>
    <w:rsid w:val="0B5F3925"/>
    <w:rsid w:val="0BBD2218"/>
    <w:rsid w:val="0CFF716D"/>
    <w:rsid w:val="0D4032E2"/>
    <w:rsid w:val="0DA41AC3"/>
    <w:rsid w:val="0E715E49"/>
    <w:rsid w:val="0ECA37AB"/>
    <w:rsid w:val="0EF95E3E"/>
    <w:rsid w:val="0F1669F0"/>
    <w:rsid w:val="0F930041"/>
    <w:rsid w:val="0F9E65F8"/>
    <w:rsid w:val="10207B26"/>
    <w:rsid w:val="104E5D16"/>
    <w:rsid w:val="10545A22"/>
    <w:rsid w:val="10BB15FD"/>
    <w:rsid w:val="11673533"/>
    <w:rsid w:val="11BD3153"/>
    <w:rsid w:val="11C15414"/>
    <w:rsid w:val="12080872"/>
    <w:rsid w:val="12371157"/>
    <w:rsid w:val="12706417"/>
    <w:rsid w:val="12A14823"/>
    <w:rsid w:val="13091E60"/>
    <w:rsid w:val="1367781A"/>
    <w:rsid w:val="13734411"/>
    <w:rsid w:val="139A199E"/>
    <w:rsid w:val="13EE1CEA"/>
    <w:rsid w:val="142E0338"/>
    <w:rsid w:val="1481490C"/>
    <w:rsid w:val="149208C7"/>
    <w:rsid w:val="14C87E26"/>
    <w:rsid w:val="14CD7B51"/>
    <w:rsid w:val="14EA24B1"/>
    <w:rsid w:val="15D849FF"/>
    <w:rsid w:val="160475A2"/>
    <w:rsid w:val="163D2AB4"/>
    <w:rsid w:val="16542B40"/>
    <w:rsid w:val="1675224E"/>
    <w:rsid w:val="1695644C"/>
    <w:rsid w:val="16F94C2D"/>
    <w:rsid w:val="17B44FF8"/>
    <w:rsid w:val="18357EE7"/>
    <w:rsid w:val="18D53478"/>
    <w:rsid w:val="18FC27B3"/>
    <w:rsid w:val="19083B35"/>
    <w:rsid w:val="19B17A41"/>
    <w:rsid w:val="19C07C84"/>
    <w:rsid w:val="1A7D0F12"/>
    <w:rsid w:val="1A7F5449"/>
    <w:rsid w:val="1BA710FC"/>
    <w:rsid w:val="1C626DD1"/>
    <w:rsid w:val="1C6E1C1A"/>
    <w:rsid w:val="1CE617B0"/>
    <w:rsid w:val="1D01483C"/>
    <w:rsid w:val="1D2D73DF"/>
    <w:rsid w:val="1D383FD6"/>
    <w:rsid w:val="1D434E54"/>
    <w:rsid w:val="1D552DD9"/>
    <w:rsid w:val="1DAF6046"/>
    <w:rsid w:val="1DC67833"/>
    <w:rsid w:val="1DC75A85"/>
    <w:rsid w:val="1E2A68F9"/>
    <w:rsid w:val="1E401394"/>
    <w:rsid w:val="1E85149C"/>
    <w:rsid w:val="1EBA4F6E"/>
    <w:rsid w:val="1FB262C1"/>
    <w:rsid w:val="1FDD4AC9"/>
    <w:rsid w:val="201B3E66"/>
    <w:rsid w:val="207131BC"/>
    <w:rsid w:val="20D858B3"/>
    <w:rsid w:val="21837F15"/>
    <w:rsid w:val="21E309B4"/>
    <w:rsid w:val="21E85FCA"/>
    <w:rsid w:val="21F20BF7"/>
    <w:rsid w:val="225B49EE"/>
    <w:rsid w:val="225D0766"/>
    <w:rsid w:val="226644B4"/>
    <w:rsid w:val="22A87507"/>
    <w:rsid w:val="22C73259"/>
    <w:rsid w:val="22DF73CD"/>
    <w:rsid w:val="22E51840"/>
    <w:rsid w:val="232C0139"/>
    <w:rsid w:val="234436D4"/>
    <w:rsid w:val="23B02B18"/>
    <w:rsid w:val="23B56380"/>
    <w:rsid w:val="241A61E3"/>
    <w:rsid w:val="246B4C91"/>
    <w:rsid w:val="25AC477A"/>
    <w:rsid w:val="25F74A2E"/>
    <w:rsid w:val="26551754"/>
    <w:rsid w:val="26746ACA"/>
    <w:rsid w:val="27421CD9"/>
    <w:rsid w:val="276B1830"/>
    <w:rsid w:val="27A961FC"/>
    <w:rsid w:val="280C22E7"/>
    <w:rsid w:val="284C268C"/>
    <w:rsid w:val="28575C58"/>
    <w:rsid w:val="29332221"/>
    <w:rsid w:val="29D46E34"/>
    <w:rsid w:val="2A1726E7"/>
    <w:rsid w:val="2A473AAA"/>
    <w:rsid w:val="2A974DA2"/>
    <w:rsid w:val="2ACD2201"/>
    <w:rsid w:val="2AE63E41"/>
    <w:rsid w:val="2C512293"/>
    <w:rsid w:val="2D8A521C"/>
    <w:rsid w:val="2D8D3ECA"/>
    <w:rsid w:val="2DB60F42"/>
    <w:rsid w:val="2DF45CF7"/>
    <w:rsid w:val="2FCD4A51"/>
    <w:rsid w:val="30004E27"/>
    <w:rsid w:val="30DB6CFA"/>
    <w:rsid w:val="310426F5"/>
    <w:rsid w:val="31514B98"/>
    <w:rsid w:val="31615451"/>
    <w:rsid w:val="31695349"/>
    <w:rsid w:val="3175714F"/>
    <w:rsid w:val="31794E91"/>
    <w:rsid w:val="323668DE"/>
    <w:rsid w:val="32652FB3"/>
    <w:rsid w:val="32AF598F"/>
    <w:rsid w:val="32BF68D3"/>
    <w:rsid w:val="32EE71B8"/>
    <w:rsid w:val="33583E16"/>
    <w:rsid w:val="343B642D"/>
    <w:rsid w:val="346F4329"/>
    <w:rsid w:val="34960341"/>
    <w:rsid w:val="34F0546A"/>
    <w:rsid w:val="354632DC"/>
    <w:rsid w:val="355F614C"/>
    <w:rsid w:val="35E30B2B"/>
    <w:rsid w:val="366A124C"/>
    <w:rsid w:val="369736C3"/>
    <w:rsid w:val="36B424C7"/>
    <w:rsid w:val="36DB4F51"/>
    <w:rsid w:val="37305FF2"/>
    <w:rsid w:val="37555A58"/>
    <w:rsid w:val="376E08C8"/>
    <w:rsid w:val="37955E55"/>
    <w:rsid w:val="37BF7375"/>
    <w:rsid w:val="3870241E"/>
    <w:rsid w:val="39C742BF"/>
    <w:rsid w:val="3A015A23"/>
    <w:rsid w:val="3ADD1FEC"/>
    <w:rsid w:val="3C2A16B0"/>
    <w:rsid w:val="3C432323"/>
    <w:rsid w:val="3CF96490"/>
    <w:rsid w:val="3D5B3EE6"/>
    <w:rsid w:val="3D6A1B31"/>
    <w:rsid w:val="3D89645B"/>
    <w:rsid w:val="3DB50FFF"/>
    <w:rsid w:val="3DF80EEB"/>
    <w:rsid w:val="3E191374"/>
    <w:rsid w:val="3E554590"/>
    <w:rsid w:val="3E7E5894"/>
    <w:rsid w:val="3E7F4B32"/>
    <w:rsid w:val="3EA177D5"/>
    <w:rsid w:val="3EE002FD"/>
    <w:rsid w:val="3EED47C8"/>
    <w:rsid w:val="3EF20030"/>
    <w:rsid w:val="3F7171A7"/>
    <w:rsid w:val="3F8E3292"/>
    <w:rsid w:val="400224F5"/>
    <w:rsid w:val="401364B0"/>
    <w:rsid w:val="40EB2F89"/>
    <w:rsid w:val="41BB6E00"/>
    <w:rsid w:val="41EA4FEF"/>
    <w:rsid w:val="41FF6CEC"/>
    <w:rsid w:val="42265A03"/>
    <w:rsid w:val="422B7AE1"/>
    <w:rsid w:val="423821FE"/>
    <w:rsid w:val="424C5CAA"/>
    <w:rsid w:val="4277508C"/>
    <w:rsid w:val="430640AA"/>
    <w:rsid w:val="43657023"/>
    <w:rsid w:val="437F4677"/>
    <w:rsid w:val="43860D47"/>
    <w:rsid w:val="438A6A89"/>
    <w:rsid w:val="43D85A47"/>
    <w:rsid w:val="43D9356D"/>
    <w:rsid w:val="43F16B09"/>
    <w:rsid w:val="4453331F"/>
    <w:rsid w:val="44A91191"/>
    <w:rsid w:val="44C85ABB"/>
    <w:rsid w:val="452627E2"/>
    <w:rsid w:val="463158E2"/>
    <w:rsid w:val="46874600"/>
    <w:rsid w:val="47290367"/>
    <w:rsid w:val="473E2065"/>
    <w:rsid w:val="47451051"/>
    <w:rsid w:val="48943F06"/>
    <w:rsid w:val="48C7608A"/>
    <w:rsid w:val="491D5CAA"/>
    <w:rsid w:val="493059DD"/>
    <w:rsid w:val="49D46CB0"/>
    <w:rsid w:val="4A4C56A8"/>
    <w:rsid w:val="4A875AD1"/>
    <w:rsid w:val="4AC9433B"/>
    <w:rsid w:val="4B536B5B"/>
    <w:rsid w:val="4B5A31E5"/>
    <w:rsid w:val="4BCE1885"/>
    <w:rsid w:val="4BDF193C"/>
    <w:rsid w:val="4C8860A9"/>
    <w:rsid w:val="4CCC1EC1"/>
    <w:rsid w:val="4CE11333"/>
    <w:rsid w:val="4CE76CFB"/>
    <w:rsid w:val="4D7367E0"/>
    <w:rsid w:val="4D866514"/>
    <w:rsid w:val="4DB27309"/>
    <w:rsid w:val="4E810A89"/>
    <w:rsid w:val="4E9904C8"/>
    <w:rsid w:val="4F2A7373"/>
    <w:rsid w:val="4F3D70A6"/>
    <w:rsid w:val="4FC361E7"/>
    <w:rsid w:val="4FFF1F62"/>
    <w:rsid w:val="501222E0"/>
    <w:rsid w:val="5035213F"/>
    <w:rsid w:val="50964CC0"/>
    <w:rsid w:val="509E1DC6"/>
    <w:rsid w:val="50BE5FC4"/>
    <w:rsid w:val="50EB2C68"/>
    <w:rsid w:val="51200A2D"/>
    <w:rsid w:val="514A5AAA"/>
    <w:rsid w:val="51BD44CE"/>
    <w:rsid w:val="51DF4444"/>
    <w:rsid w:val="51E317C7"/>
    <w:rsid w:val="51F003FF"/>
    <w:rsid w:val="523A5B1F"/>
    <w:rsid w:val="525C3CE7"/>
    <w:rsid w:val="52756B57"/>
    <w:rsid w:val="52AF02BB"/>
    <w:rsid w:val="52F757BE"/>
    <w:rsid w:val="530028C4"/>
    <w:rsid w:val="530F6FAB"/>
    <w:rsid w:val="53422EDD"/>
    <w:rsid w:val="547215A0"/>
    <w:rsid w:val="5563294C"/>
    <w:rsid w:val="56024BA5"/>
    <w:rsid w:val="56F95FA8"/>
    <w:rsid w:val="588673C8"/>
    <w:rsid w:val="59505C28"/>
    <w:rsid w:val="59C0332B"/>
    <w:rsid w:val="5A2F1CE1"/>
    <w:rsid w:val="5A315A59"/>
    <w:rsid w:val="5AB50438"/>
    <w:rsid w:val="5B13515F"/>
    <w:rsid w:val="5C655A36"/>
    <w:rsid w:val="5C6914DA"/>
    <w:rsid w:val="5D2D69AC"/>
    <w:rsid w:val="5D5E6B65"/>
    <w:rsid w:val="5DD230AF"/>
    <w:rsid w:val="5E2A2EEB"/>
    <w:rsid w:val="5E442C84"/>
    <w:rsid w:val="5F683CCB"/>
    <w:rsid w:val="5F904FD0"/>
    <w:rsid w:val="5FAD5B82"/>
    <w:rsid w:val="5FB46F10"/>
    <w:rsid w:val="5FEB66AA"/>
    <w:rsid w:val="5FEF7F48"/>
    <w:rsid w:val="60566219"/>
    <w:rsid w:val="60A30482"/>
    <w:rsid w:val="61073070"/>
    <w:rsid w:val="6150155B"/>
    <w:rsid w:val="61B61C92"/>
    <w:rsid w:val="62363614"/>
    <w:rsid w:val="62791D4B"/>
    <w:rsid w:val="62B15989"/>
    <w:rsid w:val="62CE653B"/>
    <w:rsid w:val="6331016A"/>
    <w:rsid w:val="63387E58"/>
    <w:rsid w:val="637C5F97"/>
    <w:rsid w:val="63FF0976"/>
    <w:rsid w:val="64835103"/>
    <w:rsid w:val="648D5F82"/>
    <w:rsid w:val="64B96D77"/>
    <w:rsid w:val="65387C9C"/>
    <w:rsid w:val="66377F53"/>
    <w:rsid w:val="66456B14"/>
    <w:rsid w:val="668C4743"/>
    <w:rsid w:val="66BE4162"/>
    <w:rsid w:val="67370F43"/>
    <w:rsid w:val="67FC76A6"/>
    <w:rsid w:val="682054F9"/>
    <w:rsid w:val="686D2352"/>
    <w:rsid w:val="696D1EDE"/>
    <w:rsid w:val="69A73642"/>
    <w:rsid w:val="69B30239"/>
    <w:rsid w:val="69C04704"/>
    <w:rsid w:val="6B685053"/>
    <w:rsid w:val="6BBD0EFB"/>
    <w:rsid w:val="6BEC7A32"/>
    <w:rsid w:val="6CDF1345"/>
    <w:rsid w:val="6D1641AC"/>
    <w:rsid w:val="6D984E6C"/>
    <w:rsid w:val="6DC5053A"/>
    <w:rsid w:val="6E317B27"/>
    <w:rsid w:val="6E693F43"/>
    <w:rsid w:val="6F2F0361"/>
    <w:rsid w:val="70903082"/>
    <w:rsid w:val="70DF5DB7"/>
    <w:rsid w:val="70DF7B65"/>
    <w:rsid w:val="71241A1C"/>
    <w:rsid w:val="712E4649"/>
    <w:rsid w:val="71902C0D"/>
    <w:rsid w:val="71C254BD"/>
    <w:rsid w:val="7349576A"/>
    <w:rsid w:val="73CB617F"/>
    <w:rsid w:val="73DB0AB8"/>
    <w:rsid w:val="744228E5"/>
    <w:rsid w:val="74430021"/>
    <w:rsid w:val="744523D5"/>
    <w:rsid w:val="74746816"/>
    <w:rsid w:val="74C652C4"/>
    <w:rsid w:val="74CA6436"/>
    <w:rsid w:val="74D84FF7"/>
    <w:rsid w:val="7592164A"/>
    <w:rsid w:val="76427296"/>
    <w:rsid w:val="764A3CD3"/>
    <w:rsid w:val="76BB697E"/>
    <w:rsid w:val="777032C5"/>
    <w:rsid w:val="77BD2282"/>
    <w:rsid w:val="77C41C3A"/>
    <w:rsid w:val="77E15F71"/>
    <w:rsid w:val="78436C2C"/>
    <w:rsid w:val="786077DD"/>
    <w:rsid w:val="794E3ADA"/>
    <w:rsid w:val="79D264B9"/>
    <w:rsid w:val="7A3031E0"/>
    <w:rsid w:val="7A3E76AA"/>
    <w:rsid w:val="7A637111"/>
    <w:rsid w:val="7ABE6A3D"/>
    <w:rsid w:val="7AEA7832"/>
    <w:rsid w:val="7B1E74DC"/>
    <w:rsid w:val="7B38059E"/>
    <w:rsid w:val="7B5B5EDB"/>
    <w:rsid w:val="7BA21EBB"/>
    <w:rsid w:val="7BDD1145"/>
    <w:rsid w:val="7C525906"/>
    <w:rsid w:val="7C613B24"/>
    <w:rsid w:val="7CC3033B"/>
    <w:rsid w:val="7CC61125"/>
    <w:rsid w:val="7CD87573"/>
    <w:rsid w:val="7D202636"/>
    <w:rsid w:val="7D457CEE"/>
    <w:rsid w:val="7D472D1A"/>
    <w:rsid w:val="7D5611AF"/>
    <w:rsid w:val="7E461224"/>
    <w:rsid w:val="7ED22AB7"/>
    <w:rsid w:val="7EDC6F0C"/>
    <w:rsid w:val="7EF24F07"/>
    <w:rsid w:val="7F025963"/>
    <w:rsid w:val="7F0A04A3"/>
    <w:rsid w:val="7F1629A4"/>
    <w:rsid w:val="7F231565"/>
    <w:rsid w:val="7F4F235A"/>
    <w:rsid w:val="7F6D527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8"/>
    <w:qFormat/>
    <w:uiPriority w:val="99"/>
    <w:pPr>
      <w:ind w:left="100" w:leftChars="2500"/>
    </w:pPr>
  </w:style>
  <w:style w:type="paragraph" w:styleId="3">
    <w:name w:val="footer"/>
    <w:basedOn w:val="1"/>
    <w:link w:val="16"/>
    <w:qFormat/>
    <w:uiPriority w:val="99"/>
    <w:pPr>
      <w:tabs>
        <w:tab w:val="right" w:pos="4153"/>
        <w:tab w:val="left" w:leader="middleDot" w:pos="8306"/>
      </w:tabs>
      <w:snapToGrid w:val="0"/>
      <w:jc w:val="left"/>
    </w:pPr>
    <w:rPr>
      <w:sz w:val="18"/>
      <w:szCs w:val="18"/>
    </w:rPr>
  </w:style>
  <w:style w:type="paragraph" w:styleId="4">
    <w:name w:val="header"/>
    <w:basedOn w:val="1"/>
    <w:link w:val="15"/>
    <w:qFormat/>
    <w:uiPriority w:val="99"/>
    <w:pPr>
      <w:pBdr>
        <w:bottom w:val="single" w:color="000000" w:sz="6" w:space="1"/>
      </w:pBdr>
      <w:tabs>
        <w:tab w:val="right" w:pos="4153"/>
        <w:tab w:val="left" w:leader="middleDo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Heading3"/>
    <w:basedOn w:val="1"/>
    <w:next w:val="1"/>
    <w:qFormat/>
    <w:uiPriority w:val="99"/>
    <w:pPr>
      <w:spacing w:before="100" w:beforeAutospacing="1" w:after="100" w:afterAutospacing="1"/>
      <w:jc w:val="left"/>
    </w:pPr>
    <w:rPr>
      <w:rFonts w:ascii="宋体" w:hAnsi="宋体"/>
      <w:b/>
      <w:kern w:val="0"/>
      <w:sz w:val="27"/>
      <w:szCs w:val="27"/>
    </w:rPr>
  </w:style>
  <w:style w:type="character" w:customStyle="1" w:styleId="10">
    <w:name w:val="NormalCharacter"/>
    <w:semiHidden/>
    <w:qFormat/>
    <w:uiPriority w:val="99"/>
  </w:style>
  <w:style w:type="table" w:customStyle="1" w:styleId="11">
    <w:name w:val="TableNormal"/>
    <w:semiHidden/>
    <w:qFormat/>
    <w:uiPriority w:val="99"/>
    <w:tblPr>
      <w:tblCellMar>
        <w:top w:w="0" w:type="dxa"/>
        <w:left w:w="0" w:type="dxa"/>
        <w:bottom w:w="0" w:type="dxa"/>
        <w:right w:w="0" w:type="dxa"/>
      </w:tblCellMar>
    </w:tblPr>
  </w:style>
  <w:style w:type="character" w:customStyle="1" w:styleId="12">
    <w:name w:val="PageNumber"/>
    <w:basedOn w:val="10"/>
    <w:qFormat/>
    <w:uiPriority w:val="99"/>
    <w:rPr>
      <w:rFonts w:cs="Times New Roman"/>
    </w:rPr>
  </w:style>
  <w:style w:type="character" w:customStyle="1" w:styleId="13">
    <w:name w:val="UserStyle_0"/>
    <w:basedOn w:val="10"/>
    <w:link w:val="14"/>
    <w:qFormat/>
    <w:locked/>
    <w:uiPriority w:val="99"/>
    <w:rPr>
      <w:rFonts w:cs="Times New Roman"/>
      <w:kern w:val="2"/>
      <w:sz w:val="18"/>
      <w:szCs w:val="18"/>
    </w:rPr>
  </w:style>
  <w:style w:type="paragraph" w:customStyle="1" w:styleId="14">
    <w:name w:val="Acetate"/>
    <w:basedOn w:val="1"/>
    <w:link w:val="13"/>
    <w:qFormat/>
    <w:uiPriority w:val="99"/>
    <w:rPr>
      <w:sz w:val="18"/>
      <w:szCs w:val="18"/>
    </w:rPr>
  </w:style>
  <w:style w:type="character" w:customStyle="1" w:styleId="15">
    <w:name w:val="页眉 字符"/>
    <w:basedOn w:val="8"/>
    <w:link w:val="4"/>
    <w:semiHidden/>
    <w:qFormat/>
    <w:uiPriority w:val="99"/>
    <w:rPr>
      <w:sz w:val="18"/>
      <w:szCs w:val="18"/>
    </w:rPr>
  </w:style>
  <w:style w:type="character" w:customStyle="1" w:styleId="16">
    <w:name w:val="页脚 字符"/>
    <w:basedOn w:val="10"/>
    <w:link w:val="3"/>
    <w:qFormat/>
    <w:locked/>
    <w:uiPriority w:val="99"/>
    <w:rPr>
      <w:rFonts w:cs="Times New Roman"/>
      <w:kern w:val="2"/>
      <w:sz w:val="18"/>
      <w:szCs w:val="18"/>
    </w:rPr>
  </w:style>
  <w:style w:type="paragraph" w:customStyle="1" w:styleId="17">
    <w:name w:val="AnnotationText"/>
    <w:basedOn w:val="1"/>
    <w:qFormat/>
    <w:uiPriority w:val="99"/>
    <w:pPr>
      <w:jc w:val="left"/>
    </w:pPr>
  </w:style>
  <w:style w:type="character" w:customStyle="1" w:styleId="18">
    <w:name w:val="日期 字符"/>
    <w:basedOn w:val="10"/>
    <w:link w:val="2"/>
    <w:qFormat/>
    <w:locked/>
    <w:uiPriority w:val="99"/>
    <w:rPr>
      <w:rFonts w:cs="Times New Roman"/>
      <w:kern w:val="2"/>
      <w:sz w:val="24"/>
      <w:szCs w:val="24"/>
    </w:rPr>
  </w:style>
  <w:style w:type="character" w:customStyle="1" w:styleId="19">
    <w:name w:val="font41"/>
    <w:basedOn w:val="8"/>
    <w:qFormat/>
    <w:uiPriority w:val="0"/>
    <w:rPr>
      <w:rFonts w:hint="default" w:ascii="Times New Roman" w:hAnsi="Times New Roman" w:cs="Times New Roman"/>
      <w:color w:val="000000"/>
      <w:sz w:val="18"/>
      <w:szCs w:val="18"/>
      <w:u w:val="none"/>
    </w:rPr>
  </w:style>
  <w:style w:type="character" w:customStyle="1" w:styleId="20">
    <w:name w:val="font51"/>
    <w:basedOn w:val="8"/>
    <w:qFormat/>
    <w:uiPriority w:val="0"/>
    <w:rPr>
      <w:rFonts w:ascii="仿宋_GB2312" w:eastAsia="仿宋_GB2312" w:cs="仿宋_GB2312"/>
      <w:color w:val="000000"/>
      <w:sz w:val="18"/>
      <w:szCs w:val="18"/>
      <w:u w:val="none"/>
    </w:rPr>
  </w:style>
  <w:style w:type="character" w:customStyle="1" w:styleId="21">
    <w:name w:val="font31"/>
    <w:basedOn w:val="8"/>
    <w:qFormat/>
    <w:uiPriority w:val="0"/>
    <w:rPr>
      <w:rFonts w:hint="eastAsia" w:ascii="宋体" w:hAnsi="宋体" w:eastAsia="宋体" w:cs="宋体"/>
      <w:color w:val="000000"/>
      <w:sz w:val="18"/>
      <w:szCs w:val="18"/>
      <w:u w:val="none"/>
    </w:rPr>
  </w:style>
  <w:style w:type="character" w:customStyle="1" w:styleId="22">
    <w:name w:val="font21"/>
    <w:basedOn w:val="8"/>
    <w:qFormat/>
    <w:uiPriority w:val="0"/>
    <w:rPr>
      <w:rFonts w:hint="default" w:ascii="Times New Roman" w:hAnsi="Times New Roman" w:cs="Times New Roman"/>
      <w:color w:val="000000"/>
      <w:sz w:val="24"/>
      <w:szCs w:val="24"/>
      <w:u w:val="none"/>
    </w:rPr>
  </w:style>
  <w:style w:type="character" w:customStyle="1" w:styleId="23">
    <w:name w:val="font11"/>
    <w:basedOn w:val="8"/>
    <w:qFormat/>
    <w:uiPriority w:val="0"/>
    <w:rPr>
      <w:rFonts w:ascii="仿宋_GB2312" w:eastAsia="仿宋_GB2312" w:cs="仿宋_GB2312"/>
      <w:color w:val="000000"/>
      <w:sz w:val="24"/>
      <w:szCs w:val="24"/>
      <w:u w:val="none"/>
    </w:rPr>
  </w:style>
  <w:style w:type="character" w:customStyle="1" w:styleId="24">
    <w:name w:val="font0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9587</Words>
  <Characters>10281</Characters>
  <Lines>85</Lines>
  <Paragraphs>23</Paragraphs>
  <TotalTime>9</TotalTime>
  <ScaleCrop>false</ScaleCrop>
  <LinksUpToDate>false</LinksUpToDate>
  <CharactersWithSpaces>10393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2019-06-24T13:13:00Z</dcterms:created>
  <dc:creator>释freedom</dc:creator>
  <cp:lastModifiedBy>暖暖</cp:lastModifiedBy>
  <cp:lastPrinted>2022-10-29T08:28:00Z</cp:lastPrinted>
  <dcterms:modified xsi:type="dcterms:W3CDTF">2022-10-29T09:09:32Z</dcterms:modified>
  <dc:title>泉丰政综〔2019〕91号</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678BB9266EE4467FB980FEEBD1E7B3B2</vt:lpwstr>
  </property>
</Properties>
</file>