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62831">
      <w:pPr>
        <w:widowControl/>
        <w:wordWrap w:val="0"/>
        <w:spacing w:line="582" w:lineRule="exact"/>
        <w:jc w:val="center"/>
        <w:rPr>
          <w:rFonts w:hint="eastAsia" w:ascii="微软雅黑" w:hAnsi="微软雅黑" w:eastAsia="微软雅黑" w:cs="微软雅黑"/>
          <w:color w:val="000000" w:themeColor="text1"/>
          <w:kern w:val="0"/>
          <w:sz w:val="44"/>
          <w:szCs w:val="44"/>
          <w:lang w:val="en-US" w:eastAsia="zh-CN"/>
          <w14:textFill>
            <w14:solidFill>
              <w14:schemeClr w14:val="tx1"/>
            </w14:solidFill>
          </w14:textFill>
        </w:rPr>
      </w:pPr>
      <w:r>
        <w:rPr>
          <w:rFonts w:hint="eastAsia" w:ascii="微软雅黑" w:hAnsi="微软雅黑" w:eastAsia="微软雅黑" w:cs="微软雅黑"/>
          <w:color w:val="000000" w:themeColor="text1"/>
          <w:kern w:val="0"/>
          <w:sz w:val="44"/>
          <w:szCs w:val="44"/>
          <w:lang w:val="en-US" w:eastAsia="zh-CN"/>
          <w14:textFill>
            <w14:solidFill>
              <w14:schemeClr w14:val="tx1"/>
            </w14:solidFill>
          </w14:textFill>
        </w:rPr>
        <w:t xml:space="preserve"> </w:t>
      </w:r>
    </w:p>
    <w:p w14:paraId="72A5C17E">
      <w:pPr>
        <w:widowControl/>
        <w:wordWrap w:val="0"/>
        <w:spacing w:line="582" w:lineRule="exact"/>
        <w:jc w:val="center"/>
        <w:rPr>
          <w:rFonts w:hint="eastAsia" w:ascii="微软雅黑" w:hAnsi="微软雅黑" w:eastAsia="微软雅黑" w:cs="微软雅黑"/>
          <w:color w:val="000000" w:themeColor="text1"/>
          <w:kern w:val="0"/>
          <w:sz w:val="44"/>
          <w:szCs w:val="44"/>
          <w14:textFill>
            <w14:solidFill>
              <w14:schemeClr w14:val="tx1"/>
            </w14:solidFill>
          </w14:textFill>
        </w:rPr>
      </w:pPr>
    </w:p>
    <w:p w14:paraId="685E178E">
      <w:pPr>
        <w:widowControl/>
        <w:wordWrap w:val="0"/>
        <w:spacing w:line="582" w:lineRule="exact"/>
        <w:jc w:val="cente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p>
    <w:p w14:paraId="0B8DB459">
      <w:pPr>
        <w:widowControl/>
        <w:wordWrap w:val="0"/>
        <w:spacing w:line="582" w:lineRule="exact"/>
        <w:jc w:val="cente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行政复议决定书</w:t>
      </w:r>
    </w:p>
    <w:p w14:paraId="6FEF0BE1">
      <w:pPr>
        <w:widowControl/>
        <w:wordWrap/>
        <w:spacing w:line="582" w:lineRule="exact"/>
        <w:jc w:val="both"/>
        <w:rPr>
          <w:rFonts w:hint="eastAsia" w:ascii="方正公文小标宋" w:hAnsi="方正公文小标宋" w:eastAsia="方正公文小标宋" w:cs="方正公文小标宋"/>
          <w:color w:val="000000" w:themeColor="text1"/>
          <w:sz w:val="32"/>
          <w:szCs w:val="32"/>
          <w14:textFill>
            <w14:solidFill>
              <w14:schemeClr w14:val="tx1"/>
            </w14:solidFill>
          </w14:textFill>
        </w:rPr>
      </w:pPr>
    </w:p>
    <w:p w14:paraId="1D42250A">
      <w:pPr>
        <w:widowControl/>
        <w:wordWrap/>
        <w:spacing w:line="582" w:lineRule="exact"/>
        <w:jc w:val="both"/>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 xml:space="preserve">                             泉丰政行复〔2</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025</w:t>
      </w:r>
      <w:r>
        <w:rPr>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335</w:t>
      </w:r>
      <w:r>
        <w:rPr>
          <w:rFonts w:hint="eastAsia" w:ascii="楷体_GB2312" w:hAnsi="楷体_GB2312" w:eastAsia="楷体_GB2312" w:cs="楷体_GB2312"/>
          <w:color w:val="000000" w:themeColor="text1"/>
          <w:sz w:val="32"/>
          <w:szCs w:val="32"/>
          <w14:textFill>
            <w14:solidFill>
              <w14:schemeClr w14:val="tx1"/>
            </w14:solidFill>
          </w14:textFill>
        </w:rPr>
        <w:t>号</w:t>
      </w:r>
    </w:p>
    <w:p w14:paraId="4CC7646C">
      <w:pPr>
        <w:keepNext w:val="0"/>
        <w:keepLines w:val="0"/>
        <w:pageBreakBefore w:val="0"/>
        <w:widowControl/>
        <w:kinsoku/>
        <w:wordWrap/>
        <w:overflowPunct/>
        <w:topLinePunct w:val="0"/>
        <w:autoSpaceDE/>
        <w:autoSpaceDN/>
        <w:bidi w:val="0"/>
        <w:adjustRightInd/>
        <w:snapToGrid/>
        <w:spacing w:line="579" w:lineRule="exact"/>
        <w:ind w:left="0" w:leftChars="0" w:right="0" w:rightChars="0"/>
        <w:jc w:val="both"/>
        <w:textAlignment w:val="auto"/>
        <w:outlineLvl w:val="9"/>
        <w:rPr>
          <w:rFonts w:hint="eastAsia" w:ascii="楷体_GB2312" w:hAnsi="宋体" w:eastAsia="楷体_GB2312" w:cs="楷体_GB2312"/>
          <w:color w:val="000000" w:themeColor="text1"/>
          <w:kern w:val="0"/>
          <w:sz w:val="32"/>
          <w:szCs w:val="32"/>
          <w14:textFill>
            <w14:solidFill>
              <w14:schemeClr w14:val="tx1"/>
            </w14:solidFill>
          </w14:textFill>
        </w:rPr>
      </w:pPr>
    </w:p>
    <w:p w14:paraId="6759EE48">
      <w:pPr>
        <w:keepNext w:val="0"/>
        <w:keepLines w:val="0"/>
        <w:pageBreakBefore w:val="0"/>
        <w:widowControl w:val="0"/>
        <w:kinsoku/>
        <w:wordWrap/>
        <w:overflowPunct/>
        <w:topLinePunct w:val="0"/>
        <w:autoSpaceDE/>
        <w:autoSpaceDN/>
        <w:bidi w:val="0"/>
        <w:adjustRightInd/>
        <w:snapToGrid/>
        <w:spacing w:line="579" w:lineRule="exact"/>
        <w:ind w:firstLine="640"/>
        <w:textAlignment w:val="auto"/>
        <w:outlineLvl w:val="9"/>
        <w:rPr>
          <w:rFonts w:hint="default"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bCs w:val="0"/>
          <w:color w:val="auto"/>
          <w:kern w:val="0"/>
          <w:sz w:val="32"/>
          <w:szCs w:val="32"/>
          <w:lang w:val="en-US" w:eastAsia="zh-CN"/>
        </w:rPr>
        <w:t>申请人：</w:t>
      </w:r>
      <w:r>
        <w:rPr>
          <w:rFonts w:hint="eastAsia" w:ascii="仿宋_GB2312" w:hAnsi="仿宋_GB2312" w:eastAsia="仿宋_GB2312" w:cs="仿宋_GB2312"/>
          <w:bCs/>
          <w:color w:val="auto"/>
          <w:kern w:val="0"/>
          <w:sz w:val="32"/>
          <w:szCs w:val="32"/>
          <w:lang w:val="en-US" w:eastAsia="zh-CN"/>
        </w:rPr>
        <w:t>刘某某，男，汉族，19**年*月*日出生，公民身份号码：441***********4015，住所：广东省深圳市</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auto"/>
          <w:kern w:val="0"/>
          <w:sz w:val="32"/>
          <w:szCs w:val="32"/>
          <w:lang w:val="en-US" w:eastAsia="zh-CN"/>
        </w:rPr>
        <w:t>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auto"/>
          <w:kern w:val="0"/>
          <w:sz w:val="32"/>
          <w:szCs w:val="32"/>
          <w:lang w:val="en-US" w:eastAsia="zh-CN"/>
        </w:rPr>
        <w:t>路*号。</w:t>
      </w:r>
    </w:p>
    <w:p w14:paraId="4B5EC7C8">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auto"/>
          <w:kern w:val="0"/>
          <w:sz w:val="32"/>
          <w:szCs w:val="32"/>
          <w:lang w:eastAsia="zh-CN"/>
        </w:rPr>
      </w:pPr>
      <w:r>
        <w:rPr>
          <w:rFonts w:hint="eastAsia" w:ascii="仿宋_GB2312" w:hAnsi="仿宋_GB2312" w:eastAsia="仿宋_GB2312" w:cs="仿宋_GB2312"/>
          <w:b/>
          <w:bCs w:val="0"/>
          <w:color w:val="auto"/>
          <w:kern w:val="0"/>
          <w:sz w:val="32"/>
          <w:szCs w:val="32"/>
        </w:rPr>
        <w:t>被申请人：</w:t>
      </w:r>
      <w:r>
        <w:rPr>
          <w:rFonts w:hint="eastAsia" w:ascii="仿宋_GB2312" w:hAnsi="仿宋_GB2312" w:eastAsia="仿宋_GB2312" w:cs="仿宋_GB2312"/>
          <w:bCs/>
          <w:color w:val="auto"/>
          <w:sz w:val="32"/>
          <w:szCs w:val="32"/>
        </w:rPr>
        <w:t>泉州市丰泽区市场监督管理局</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kern w:val="0"/>
          <w:sz w:val="32"/>
          <w:szCs w:val="32"/>
        </w:rPr>
        <w:t>地址：泉州市丰泽区刺桐西路瑞祥西苑1号楼</w:t>
      </w:r>
      <w:r>
        <w:rPr>
          <w:rFonts w:hint="eastAsia" w:ascii="仿宋_GB2312" w:hAnsi="仿宋_GB2312" w:eastAsia="仿宋_GB2312" w:cs="仿宋_GB2312"/>
          <w:bCs/>
          <w:color w:val="auto"/>
          <w:kern w:val="0"/>
          <w:sz w:val="32"/>
          <w:szCs w:val="32"/>
          <w:lang w:eastAsia="zh-CN"/>
        </w:rPr>
        <w:t>。</w:t>
      </w:r>
    </w:p>
    <w:p w14:paraId="3F411FBE">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 w:val="0"/>
          <w:bCs/>
          <w:color w:val="auto"/>
          <w:kern w:val="0"/>
          <w:sz w:val="32"/>
          <w:szCs w:val="32"/>
        </w:rPr>
        <w:t>法定代表人：</w:t>
      </w:r>
      <w:r>
        <w:rPr>
          <w:rFonts w:hint="eastAsia" w:ascii="仿宋_GB2312" w:hAnsi="仿宋_GB2312" w:eastAsia="仿宋_GB2312" w:cs="仿宋_GB2312"/>
          <w:bCs/>
          <w:color w:val="auto"/>
          <w:kern w:val="0"/>
          <w:sz w:val="32"/>
          <w:szCs w:val="32"/>
          <w:lang w:val="en-US" w:eastAsia="zh-CN"/>
        </w:rPr>
        <w:t>康招传</w:t>
      </w:r>
      <w:r>
        <w:rPr>
          <w:rFonts w:hint="eastAsia" w:ascii="仿宋_GB2312" w:hAnsi="仿宋_GB2312" w:eastAsia="仿宋_GB2312" w:cs="仿宋_GB2312"/>
          <w:bCs/>
          <w:color w:val="auto"/>
          <w:kern w:val="0"/>
          <w:sz w:val="32"/>
          <w:szCs w:val="32"/>
        </w:rPr>
        <w:t>，职务：局长。</w:t>
      </w:r>
    </w:p>
    <w:p w14:paraId="023B3EB9">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auto"/>
          <w:kern w:val="0"/>
          <w:sz w:val="32"/>
          <w:szCs w:val="32"/>
        </w:rPr>
      </w:pPr>
    </w:p>
    <w:p w14:paraId="361E6848">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申请人刘某某不服被申请人</w:t>
      </w:r>
      <w:r>
        <w:rPr>
          <w:rFonts w:hint="eastAsia" w:ascii="仿宋_GB2312" w:hAnsi="仿宋_GB2312" w:eastAsia="仿宋_GB2312" w:cs="仿宋_GB2312"/>
          <w:bCs/>
          <w:color w:val="000000" w:themeColor="text1"/>
          <w:sz w:val="32"/>
          <w:szCs w:val="32"/>
          <w14:textFill>
            <w14:solidFill>
              <w14:schemeClr w14:val="tx1"/>
            </w14:solidFill>
          </w14:textFill>
        </w:rPr>
        <w:t>泉州市丰泽区市场监督管理局</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就其举报事项作出的不予立案决定，向本机关申请行政复议</w:t>
      </w:r>
      <w:r>
        <w:rPr>
          <w:rFonts w:hint="eastAsia" w:ascii="仿宋_GB2312" w:hAnsi="仿宋_GB2312" w:eastAsia="仿宋_GB2312" w:cs="仿宋_GB2312"/>
          <w:bCs/>
          <w:color w:val="000000"/>
          <w:kern w:val="0"/>
          <w:sz w:val="32"/>
          <w:szCs w:val="32"/>
        </w:rPr>
        <w:t>。</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本机关依法于2025年12月1日予以受理并适用普通程序审理，于2026年1月16日通过电话方式</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听取申请人意见。</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本案现已审理</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终结。</w:t>
      </w:r>
    </w:p>
    <w:p w14:paraId="63A7ECA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申请人请求：</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1.撤销被申请人就申请人举报事项作出的不予立案决定；2.责令被申请人重新作出处理。</w:t>
      </w:r>
    </w:p>
    <w:p w14:paraId="0F2D9C92">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申请人称：</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申请人购买到不合格食品后依法通过12315渠道向被申请人反映问题，但被申请人在处理过程中存在明显违法违规及失职行为。现将具体情况反映如下:</w:t>
      </w:r>
    </w:p>
    <w:p w14:paraId="7DFC449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一、基本情况</w:t>
      </w:r>
    </w:p>
    <w:p w14:paraId="7395452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申请人购买的“奶黄流心月饼”存在不合格情形。事发后，申请人第一时间向产品受委托生产方所在地——漳州市市场监督管理局反映。漳州市局经调查反馈称，该产品标签由委托方某某（泉州）供应链管理有限公司设计，遂决定不予立案并将案件线索移送至泉州市丰泽区市场监督管理局处理。2025年9月30日，申请人依据相关线索，向被申请人正式投诉，要求依法组织调解并对某某（泉州）供应链管理有限公司的违法行为予以查处。但直至2025年11月6日，被申请人直接作出不予立案决定。</w:t>
      </w:r>
    </w:p>
    <w:p w14:paraId="25E912B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二、存在的主要问题</w:t>
      </w:r>
    </w:p>
    <w:p w14:paraId="07A4209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一）不依法组织调解。申请人在投诉时已明确要求调解，12315工单内包含投诉与举报两部分内容，但被申请人只对立案部分作出决定，未按照《市场监督管理投诉举报处理暂行办法》第十五条等规定，依法对投诉部分组织调解，属有法不依。</w:t>
      </w:r>
    </w:p>
    <w:p w14:paraId="0DA6A72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（二）违反答复时限规定。根据投诉举报处理有关规定，市场监管部门应当在十五个工作日内予以答复。但被申请人的处理时间已明显超出法定时限，违反程序要求。</w:t>
      </w:r>
    </w:p>
    <w:p w14:paraId="59E3AE8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三）对违法行为包庇纵容。某某（泉州）供应链管理有限公司的违法线索已由漳州市市场监管局明确移送，且相关证据充分，但被申请人仍以不予立案为由不予查处，未告知不予立案的理由及调查过程，涉嫌不履行监管职责，存在包庇违法行为之嫌。</w:t>
      </w:r>
    </w:p>
    <w:p w14:paraId="589AE2BF">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三、诉求事项</w:t>
      </w:r>
    </w:p>
    <w:p w14:paraId="6328331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鉴于上述情况，申请人现依法提出以下诉求:</w:t>
      </w:r>
    </w:p>
    <w:p w14:paraId="16A1054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（一）责令被申请人依法组织投诉调解;</w:t>
      </w:r>
    </w:p>
    <w:p w14:paraId="00D5278A">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（二）对某某（泉州）供应链管理有限公司涉嫌违法行为依法立案查处。</w:t>
      </w:r>
    </w:p>
    <w:p w14:paraId="3BE63842">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恳请复议机关依法督促处理，维护消费者的合法权益，保障市场公平秩序。</w:t>
      </w:r>
    </w:p>
    <w:p w14:paraId="2D3FBE9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被</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申请人</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答复</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称</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一、被申请人在法定期限内依法处理申请人提交的举报事项，行政行为程序合法、适用依据正确。</w:t>
      </w:r>
    </w:p>
    <w:p w14:paraId="28206BA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（一）举报件基本情况</w:t>
      </w:r>
    </w:p>
    <w:p w14:paraId="679F633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2025年9月30日，被申请人收到申请人通过12315平台微信小程序提交的举报件，称其本人购买的某某“奶黄流心月饼”，在食用时发现产品标签存在一些问题，产品执行的是GB/T 19855，按照GB/T 19855中9.2“本文件5.4馅料中有相关添加量要求的都应在产品的标签中标示出各对应配料的添加量”要求，应当标识按照配方计算，馅料中咸蛋黄的添加量（并符合蛋黄馅中咸蛋黄及其制品的添加量应不低于8%的要求）。而某某“奶黄流心月饼”仅在配料表中标示“咸蛋黄”，未标示含量，属于不合格食品，对消费者选择产品造成误导。《食品安全法实施条例》第二十一条规定：“食品、食品添加剂生产经营者委托生产食品、食品添加剂的，应当委托取得食品生产许可、食品添加剂生产许可的生产者生产，并对其生产行为进行监督，对委托生产的食品、食品添加剂的安全负责。”委托方“某某（泉州）公司”应当对委托生产的食品承担质量安全责任。先要求组织调解，对违法企业进行立案处罚。2025年10月10日，被申请人收到漳州市市场监督管理局案件线索移送函，漳州市市场监督管理局将申请人向该局举报线索移交被申请人办理，内容与申请人通过12315平台提交的举报内容一致。</w:t>
      </w:r>
    </w:p>
    <w:p w14:paraId="327272F2">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2025年10月27日，根据《市场监督管理行政处罚程序规定》第十八条第一款的规定，被申请人依法对该线索延长核查期限至 2025年11月17日。</w:t>
      </w:r>
    </w:p>
    <w:p w14:paraId="6A814A3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（二）举报件核查情况</w:t>
      </w:r>
    </w:p>
    <w:p w14:paraId="7E53220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23日，被申请人执法人员对被举报人经营场所进行现场检查，现场检查未发现被举报产品某某奶黄流心月饼，被举报人称该款产品为季节性产品，中秋节后已清理停止销售。被举报人提供了该款食品标签审核报告，结论为受审核样品符合GB7718-2011,GB28050-2011的要求。审核报告显示该款产品标签标明产品名称为奶黄流心月饼，产品类型：其他月饼，标明配料中含有稀奶油、咸蛋黄等成分。被举报人委托生产的流心月饼并非申请人所认为的蛋黄馅料月饼，不适用于GB/T 19885-2023《月饼质量通则》5.4.5蛋黄馅的推荐要求。GB/T 19885-2023《月饼质量通则》5.4.8流心馅未规定需标明配料添加量。被举报人生产的流心月饼标签符合GB/T 19885-2023《月饼质量通则》9.2的规定。</w:t>
      </w:r>
    </w:p>
    <w:p w14:paraId="36E7790B">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因被举报人生产的预包装食品标签符合法规规定，没有证据表明被举报人存在申请人举报的违法行为，不符合《市场监督管理行政处罚程序规定》第十九条第一款第一项规定的立案条件。2025年11月6日，被申请人对该举报线索作出不予立案决定，并依据《市场监督管理投诉举报处理暂行办法》第三十一条第二款的规定，于当日通过12315平台告知申请人。</w:t>
      </w:r>
    </w:p>
    <w:p w14:paraId="1436A6A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二、申请人提出的异议没有依据。</w:t>
      </w:r>
    </w:p>
    <w:p w14:paraId="4A0B523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提出“不依法组织调解”的问题，被申请人认为：申请人2025年9月30日通过全国12315平台微信小程序进行举报登记。全国12315平台系国家市场监督管理总局主办的市场监督管理部门的投诉举报平台，该平台首页内设有“您购买商品或接受服务认为经营者侵犯您的合法权益&gt;&gt;我要投诉”和“您发现违反市场监管法律法规的行为&gt;&gt;我要举报”两个独立入口。当事人在点击“我要举报”入口后会出现《举报须知》页面，在点击“我要投诉”入口后会出现《投诉须知》页面。其中，《举报须知》第5条载明：“举报事项一事一单，请勿就同一事项重复举报，请勿在一个举报单中反映不同被举报人的涉嫌违法行为。由于举报、投诉的处理程序不同，请勿在举报中含有投诉内容。” 当事人投诉或举报均须在相应入口的须知页面下方点击“同意”后方能进入相应窗口，进行相关信息填写。申请人在登记时已阅读须知并登记举报信息，被申请人并未收到申请人的投诉件。</w:t>
      </w:r>
    </w:p>
    <w:p w14:paraId="2D068978">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提出“违反答复时限规定”的问题，被申请人认为被申请人于2025年9月30日收到申请人提交的举报件。因证据收集没有完成，于2025年10月27日，根据《市场监督管理行政处罚程序规定》第十八条第一款的规定，依法对该线索延长核查期限至2025年11月18日。2025年11月6日，被申请人对该举报线索作出不予立案决定，并依据《市场监督管理投诉举报处理暂行办法》第三十一条第二款的规定，于当日通过12315平台告知申请人，并未违反相关核查、告知时限。</w:t>
      </w:r>
    </w:p>
    <w:p w14:paraId="7E8EF37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提出“对违法行为包庇纵容”的问题，被申请人认为，被申请人经过对申请人提出的举报进行核查后发现，被举报人并未违法，因此作出不予立案的决定，事实清楚、适用法律正确、程序合法，并非申请人臆想的对违法行为包庇纵容。</w:t>
      </w:r>
    </w:p>
    <w:p w14:paraId="7CB1B67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三、申请人不具备行政复议资格</w:t>
      </w:r>
    </w:p>
    <w:p w14:paraId="453F61D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自12315平台开通以来，申请人共投诉19次、举报65次。此次复议中，申请人购买商品后，由于自己对标签的错误认识，对委托生产商和被委托生产商均进行了举报，要求奖励，未得到满足后立即申请行政复议，申请人具有职业索赔显著特征，显然不属于为生活消费而购买商品或服务的消费者，其举报内容不属于“合法权益遭受侵犯”；被申请人对申请人的举报事项经核查后作出的决定和答复，与申请人无利害关系，对申请人的合法权益不产生实际影响，故申请人不具备行政复议资格。</w:t>
      </w:r>
    </w:p>
    <w:p w14:paraId="28949F1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综上，被申请人在法定期限内依法处理申请人提交的举报事项行政行为程序合法、适用依据正确，申请人提出的异议没有依据。请求复议机关依法驳回申请人的行政复议申请或者维持被申请人作出的不予立案决定。</w:t>
      </w:r>
    </w:p>
    <w:p w14:paraId="2C0F1E5F">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经审理查明：</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2025年9月30日，被申请人收到申请人通过12315平台提交的举报件，申请人举报称：“本人购买的某某‘奶黄流心月饼’在食用时发现产品标签存在一些问题，产品执行的是GB/T 19855，按照GB/T 19855中9.2‘本文件5.4馅料中有相关添加量要求的都应在产品的标签中标示出各对应配料的添加量’要求，应当标识按照配方计算，馅料中咸蛋黄的添加量（并符合蛋黄馅中咸蛋黄及其制品的添加量应不低于8%的要求）。而某某‘奶黄流心月饼’仅在配料表中标示‘咸蛋黄’，未标示含量，属于不合格食品，对消费者选择产品造成误导。《食品安全法实施条例》第二十一条规定：‘食品、食品添加剂生产经营者委托生产食品、食品添加剂的，应当委托取得食品生产许可、食品添加剂生产许可的生产者生产，并对其生产行为进行监督，对委托生产的食品、食品添加剂的安全负责。’委托方某某（泉州）公司应当对委托生产的食品承担质量安全责任。先要求组织调解，对违法企业进行立案处罚。”同日，被申请人执法人员对该线索予以案源登记。</w:t>
      </w:r>
    </w:p>
    <w:p w14:paraId="0D267A4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2025年10月10日，被申请人收到漳州市市场监督管理局案件线索移送函，漳州市市场监督管理局将申请人向该局提交的举报线索移交被申请人办理，内容与申请人通过12315平台提交的举报内容一致。</w:t>
      </w:r>
    </w:p>
    <w:p w14:paraId="19CA916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2025年10月23日，被申请人执法人员对被举报人经营场所进行现场检查，现场检查未发现被举报产品某某奶黄流心月饼，</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被举报人称</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该款产品为季节性产品，中秋节后已清理停止销售。被举报人提供了该款食品标签审核报告，结论为：受审核样品符合GB7718-2011,GB28050-2011的要求。审核报告显示该款产品标签标明产品名称为奶黄流心月饼，产品类型：其他月饼，标明配料中含有稀奶油、咸蛋黄等成分。</w:t>
      </w:r>
    </w:p>
    <w:p w14:paraId="3515BB9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2025年10月27日，经被申请人负责人批准，被申请人依法对该线索延长核查期限至2025年11月17日。</w:t>
      </w:r>
    </w:p>
    <w:p w14:paraId="08335C5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2025年11月4日，被举报人向被申请人提交情况说明，指出案涉奶黄流心月饼馅料归属于流心馅（软心馅）而非蛋黄馅，适用的是GB/T 19885-2023《月饼质量通则》5.4.8流心馅（软心馅）的规定，该规定并未作出配料添加量标识要求。</w:t>
      </w:r>
    </w:p>
    <w:p w14:paraId="0AF9A7F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2025年11月6日，被申请人对该举报线索作出不予立案决定，并于同日通过12315平台告知申请人。</w:t>
      </w:r>
    </w:p>
    <w:p w14:paraId="27E8A69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申请人不服被申请人作出的该不予立案决定，遂提起行政复议。</w:t>
      </w:r>
    </w:p>
    <w:p w14:paraId="7869753F">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outlineLvl w:val="9"/>
        <w:rPr>
          <w:rFonts w:hint="default" w:ascii="仿宋_GB2312" w:hAnsi="仿宋_GB2312" w:eastAsia="仿宋_GB2312" w:cs="仿宋_GB2312"/>
          <w:b w:val="0"/>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highlight w:val="none"/>
          <w:lang w:val="en-US" w:eastAsia="zh-CN"/>
          <w14:textFill>
            <w14:solidFill>
              <w14:schemeClr w14:val="tx1"/>
            </w14:solidFill>
          </w14:textFill>
        </w:rPr>
        <w:t>上述事实有下列证据证明：</w:t>
      </w:r>
      <w:r>
        <w:rPr>
          <w:rFonts w:hint="eastAsia" w:ascii="仿宋_GB2312" w:hAnsi="仿宋_GB2312" w:eastAsia="仿宋_GB2312" w:cs="仿宋_GB2312"/>
          <w:sz w:val="32"/>
          <w:szCs w:val="32"/>
          <w:u w:val="none"/>
          <w:lang w:val="en-US" w:eastAsia="zh-CN"/>
        </w:rPr>
        <w:t>举报材料、案件线索移送函、案件来源登记表、行政处理有关事项审批表、不予立案审批表、现场笔录、情况说明、产品配料溯源信息、被举报对象经营资质材料、受委托生产方经营资质材料、食品委托加工合同、标签审核报告、举报不予立案告知截图、12315系统截图等。</w:t>
      </w:r>
    </w:p>
    <w:p w14:paraId="0C65B4D7">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bCs w:val="0"/>
          <w:color w:val="000000" w:themeColor="text1"/>
          <w:kern w:val="0"/>
          <w:sz w:val="32"/>
          <w:szCs w:val="32"/>
          <w:highlight w:val="none"/>
          <w14:textFill>
            <w14:solidFill>
              <w14:schemeClr w14:val="tx1"/>
            </w14:solidFill>
          </w14:textFill>
        </w:rPr>
        <w:t>本机关认为：</w:t>
      </w:r>
      <w:r>
        <w:rPr>
          <w:rFonts w:hint="eastAsia" w:ascii="仿宋_GB2312" w:hAnsi="仿宋_GB2312" w:eastAsia="仿宋_GB2312" w:cs="仿宋_GB2312"/>
          <w:b/>
          <w:bCs w:val="0"/>
          <w:color w:val="auto"/>
          <w:kern w:val="0"/>
          <w:sz w:val="32"/>
          <w:szCs w:val="32"/>
          <w:highlight w:val="none"/>
          <w:u w:val="none"/>
          <w:lang w:val="en-US" w:eastAsia="zh-CN" w:bidi="ar-SA"/>
        </w:rPr>
        <w:t>一、职权方面。</w:t>
      </w:r>
      <w:r>
        <w:rPr>
          <w:rFonts w:hint="eastAsia" w:ascii="仿宋_GB2312" w:hAnsi="仿宋_GB2312" w:eastAsia="仿宋_GB2312" w:cs="仿宋_GB2312"/>
          <w:b w:val="0"/>
          <w:bCs/>
          <w:color w:val="auto"/>
          <w:kern w:val="0"/>
          <w:sz w:val="32"/>
          <w:szCs w:val="32"/>
          <w:highlight w:val="none"/>
          <w:u w:val="none"/>
          <w:lang w:val="en-US" w:eastAsia="zh-CN" w:bidi="ar-SA"/>
        </w:rPr>
        <w:t>《市场监督管理投诉举报处理暂行办法》第四条第二款规定：“县级以上地方市场监督管理部门负责本行政区域内的投诉举报处理工作。”被申请人作为泉州市丰泽区的市场监督管理部门，具有对申请人的举报事项作出处理的法定职权。</w:t>
      </w:r>
    </w:p>
    <w:p w14:paraId="6DAEB8D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val="0"/>
          <w:bCs/>
          <w:color w:val="auto"/>
          <w:kern w:val="0"/>
          <w:sz w:val="32"/>
          <w:szCs w:val="32"/>
          <w:highlight w:val="none"/>
          <w:u w:val="none"/>
          <w:lang w:val="en-US" w:eastAsia="zh-CN" w:bidi="ar-SA"/>
        </w:rPr>
        <w:t>关于申请人主张“被申请人未依法就投诉部分组织调解”的问题。全国12315平台首页内设有“您购买商品或接受服务认为经营者侵犯您的合法权益&gt;&gt;我要投诉”和“您发现违反市场监管法律法规的行为&gt;&gt;我要举报”两个独立入口。点击入口后会出现相应的须知页面，当事人投诉或举报均须在相应入口的须知页面下方点击“同意”后方能进入相应窗口，进行相关信息填写。由于投诉、举报的处理程序不同，被申请人对投诉、举报事项具有独立的处理职责。《举报须知》中明确载明“请勿在举报中含有投诉内容”，申请人在登记时也已阅读须知并登记举报信息，应当认定其知晓其所提交的投诉举报系举报件，其未另行提交投诉件，故被申请人仅有就举报事项决定是否立案的职责，不存在就投诉事项组织调解的职责。申请人关于投诉部分的主张没有事实依据。</w:t>
      </w:r>
    </w:p>
    <w:p w14:paraId="663AFE25">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bCs w:val="0"/>
          <w:color w:val="auto"/>
          <w:kern w:val="0"/>
          <w:sz w:val="32"/>
          <w:szCs w:val="32"/>
          <w:highlight w:val="none"/>
          <w:u w:val="none"/>
          <w:lang w:val="en-US" w:eastAsia="zh-CN" w:bidi="ar-SA"/>
        </w:rPr>
        <w:t>二、程序方面。</w:t>
      </w:r>
      <w:r>
        <w:rPr>
          <w:rFonts w:hint="eastAsia" w:ascii="仿宋_GB2312" w:hAnsi="仿宋_GB2312" w:eastAsia="仿宋_GB2312" w:cs="仿宋_GB2312"/>
          <w:b w:val="0"/>
          <w:bCs/>
          <w:color w:val="auto"/>
          <w:kern w:val="0"/>
          <w:sz w:val="32"/>
          <w:szCs w:val="32"/>
          <w:highlight w:val="none"/>
          <w:u w:val="none"/>
          <w:lang w:val="en-US" w:eastAsia="zh-CN" w:bidi="ar-SA"/>
        </w:rPr>
        <w:t>《市场监督管理行政处罚程序规定》第十八条规定：“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市场监督管理投诉举报处理暂行办法》第三十一条规定：“市场监督管理部门应当按照市场监督管理行政处罚等有关规定处理举报。举报人实名举报的，有处理权限的市场监督管理部门还应当自作出是否立案决定之日起五个工作日内告知举报人。”市场监督管理部门应当在法定期限内决定是否立案并告知举报人。本案中，被申请人于2025年9月30日收到申请人举报，经依法延长核查期限，于2025年</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11月6日作</w:t>
      </w:r>
      <w:r>
        <w:rPr>
          <w:rFonts w:hint="eastAsia" w:ascii="仿宋_GB2312" w:hAnsi="仿宋_GB2312" w:eastAsia="仿宋_GB2312" w:cs="仿宋_GB2312"/>
          <w:b w:val="0"/>
          <w:bCs/>
          <w:color w:val="auto"/>
          <w:kern w:val="0"/>
          <w:sz w:val="32"/>
          <w:szCs w:val="32"/>
          <w:highlight w:val="none"/>
          <w:u w:val="none"/>
          <w:lang w:val="en-US" w:eastAsia="zh-CN" w:bidi="ar-SA"/>
        </w:rPr>
        <w:t>出不予立案决定，</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并于同日通过12315平台告知申请人</w:t>
      </w:r>
      <w:r>
        <w:rPr>
          <w:rFonts w:hint="eastAsia" w:ascii="仿宋_GB2312" w:hAnsi="仿宋_GB2312" w:eastAsia="仿宋_GB2312" w:cs="仿宋_GB2312"/>
          <w:b w:val="0"/>
          <w:bCs/>
          <w:color w:val="auto"/>
          <w:kern w:val="0"/>
          <w:sz w:val="32"/>
          <w:szCs w:val="32"/>
          <w:highlight w:val="none"/>
          <w:u w:val="none"/>
          <w:lang w:val="en-US" w:eastAsia="zh-CN" w:bidi="ar-SA"/>
        </w:rPr>
        <w:t>，均在前述规定的期限内，程序合法。</w:t>
      </w:r>
    </w:p>
    <w:p w14:paraId="16E660F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9" w:lineRule="exact"/>
        <w:ind w:right="0" w:firstLine="643" w:firstLineChars="200"/>
        <w:jc w:val="both"/>
        <w:textAlignment w:val="auto"/>
        <w:rPr>
          <w:rFonts w:hint="eastAsia" w:ascii="仿宋_GB2312" w:hAnsi="仿宋_GB2312" w:eastAsia="仿宋_GB2312" w:cs="仿宋_GB2312"/>
          <w:b w:val="0"/>
          <w:bCs w:val="0"/>
          <w:color w:val="000000" w:themeColor="text1"/>
          <w:kern w:val="0"/>
          <w:sz w:val="32"/>
          <w:szCs w:val="32"/>
          <w:highlight w:val="yellow"/>
          <w:u w:val="none"/>
          <w:lang w:val="en-US" w:eastAsia="zh-CN" w:bidi="ar-SA"/>
          <w14:textFill>
            <w14:solidFill>
              <w14:schemeClr w14:val="tx1"/>
            </w14:solidFill>
          </w14:textFill>
        </w:rPr>
      </w:pPr>
      <w:r>
        <w:rPr>
          <w:rFonts w:hint="eastAsia" w:ascii="仿宋_GB2312" w:hAnsi="仿宋_GB2312" w:eastAsia="仿宋_GB2312" w:cs="仿宋_GB2312"/>
          <w:b/>
          <w:bCs w:val="0"/>
          <w:color w:val="000000"/>
          <w:kern w:val="0"/>
          <w:sz w:val="32"/>
          <w:szCs w:val="32"/>
          <w:highlight w:val="none"/>
        </w:rPr>
        <w:t>三、事实认定与适用依据方面。</w:t>
      </w:r>
      <w:r>
        <w:rPr>
          <w:rFonts w:hint="eastAsia" w:ascii="仿宋_GB2312" w:hAnsi="仿宋_GB2312" w:eastAsia="仿宋_GB2312" w:cs="仿宋_GB2312"/>
          <w:b w:val="0"/>
          <w:bCs/>
          <w:color w:val="000000"/>
          <w:kern w:val="0"/>
          <w:sz w:val="32"/>
          <w:szCs w:val="32"/>
          <w:highlight w:val="none"/>
          <w:lang w:eastAsia="zh-CN"/>
        </w:rPr>
        <w:t>关于被举报人涉嫌“生产食品标签不符合标准”的问题。</w:t>
      </w:r>
      <w:r>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t>GB/T 19885-2023《月饼质量通则》规定：“5.4.5 蛋黄馅 添加咸蛋黄及其制品制成的馅。按配方计算,馅料中咸蛋黄及其制品的添加量应不低于8%。……5.4.8 流心馅（软心馅） 全部或部分呈半固态，并具有流动属性的馅料。……</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9.2 本文件5.4馅料中有相关添加量要求的都应在产品的标签中标示出各对应配料的添加量。</w:t>
      </w:r>
      <w:r>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t>”《&lt;月饼质量通则&gt;（GB/T 19855-2023）国家标准问答》规定：“14.（4）月饼产品名称（包括单一馅料成分以及多种馅料成分中排在第一位馅料成分）有本标准5.4未规定添加量的馅料“豆蓉（沙）馅”“杂蓉馅”“自来白馅”“自来红馅”“流心（软心馅）”以及本标准中未提及的其他馅，均由企业自愿选择是否标识相关配料的添加量。”本案中，结合被申请人提取的标签审核报告、情况说明等证据可知，案涉奶黄流心月饼应归属于流心馅（软心馅）而非蛋黄馅，其适用的是5.4.8流心馅（软心馅）的规定，该规定并未作出配料添加量标识要求，属于由企业自愿选择是否标识相关配料添加量的范畴，其仅在配料表中标示“咸蛋黄”成分而未标示含量并未违反规定，符合GB/T 19885-2023《月饼质量通则》、GB7718-2011《预包装食品标签通则》等国家标准。</w:t>
      </w:r>
      <w:r>
        <w:rPr>
          <w:rFonts w:hint="eastAsia" w:ascii="仿宋_GB2312" w:hAnsi="仿宋_GB2312" w:eastAsia="仿宋_GB2312" w:cs="仿宋_GB2312"/>
          <w:b w:val="0"/>
          <w:bCs w:val="0"/>
          <w:color w:val="000000" w:themeColor="text1"/>
          <w:kern w:val="0"/>
          <w:sz w:val="32"/>
          <w:szCs w:val="32"/>
          <w:highlight w:val="none"/>
          <w:u w:val="none"/>
          <w:lang w:val="en-US" w:eastAsia="zh-CN" w:bidi="ar-SA"/>
          <w14:textFill>
            <w14:solidFill>
              <w14:schemeClr w14:val="tx1"/>
            </w14:solidFill>
          </w14:textFill>
        </w:rPr>
        <w:t>被申请人认定被举报人生产的案涉奶黄流心月饼标签符合规定，事实清楚、证据确凿。</w:t>
      </w:r>
    </w:p>
    <w:p w14:paraId="0D94092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9" w:lineRule="exact"/>
        <w:ind w:right="0" w:firstLine="640" w:firstLineChars="200"/>
        <w:jc w:val="both"/>
        <w:textAlignment w:val="auto"/>
        <w:rPr>
          <w:rFonts w:hint="eastAsia" w:ascii="仿宋_GB2312" w:hAnsi="仿宋_GB2312" w:eastAsia="仿宋_GB2312" w:cs="仿宋_GB2312"/>
          <w:b/>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t>《市场监督管理行政处罚程序规定》第十九条第一款第一项规定：“经核查，符合下列条件的，应当立案：（一）有证据初步证明存在违反市场监督管理法律、法规、规章的行为；”本案中，被申请人以现有证据无法证明被举报人存在申请人所述的违法行为，认定案涉举报线索不符合上述规定的立案条件，作出不予立案决定，适用依据正确。</w:t>
      </w:r>
    </w:p>
    <w:p w14:paraId="3D38014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9" w:lineRule="exact"/>
        <w:ind w:right="0"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t>综上，被申请人作出的案涉不予立案决定</w:t>
      </w:r>
      <w:r>
        <w:rPr>
          <w:rFonts w:hint="eastAsia" w:ascii="仿宋_GB2312" w:hAnsi="仿宋_GB2312" w:eastAsia="仿宋_GB2312" w:cs="仿宋_GB2312"/>
          <w:color w:val="000000" w:themeColor="text1"/>
          <w:kern w:val="0"/>
          <w:sz w:val="32"/>
          <w:szCs w:val="32"/>
          <w14:textFill>
            <w14:solidFill>
              <w14:schemeClr w14:val="tx1"/>
            </w14:solidFill>
          </w14:textFill>
        </w:rPr>
        <w:t>事实清楚，证据确凿，适用依据正确，程序合法，内容适当</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6F3F1D6D">
      <w:pPr>
        <w:pStyle w:val="6"/>
        <w:keepNext w:val="0"/>
        <w:keepLines w:val="0"/>
        <w:pageBreakBefore w:val="0"/>
        <w:widowControl w:val="0"/>
        <w:kinsoku/>
        <w:wordWrap/>
        <w:overflowPunct/>
        <w:topLinePunct w:val="0"/>
        <w:autoSpaceDE/>
        <w:autoSpaceDN/>
        <w:bidi w:val="0"/>
        <w:adjustRightInd/>
        <w:snapToGrid/>
        <w:spacing w:after="0"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依照《中华人民共和国行政复议法》第六十八条之规定，本机关决定如下：</w:t>
      </w:r>
    </w:p>
    <w:p w14:paraId="7C312A9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维持被申请人泉州市丰泽区市场监督管理局就申请人刘某某举报事项作出的不予立案决定。</w:t>
      </w:r>
    </w:p>
    <w:p w14:paraId="17BEEB2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t>申请人如不服本决定，可自收到本</w:t>
      </w:r>
      <w:r>
        <w:rPr>
          <w:rFonts w:hint="eastAsia" w:ascii="仿宋_GB2312" w:hAnsi="仿宋_GB2312" w:eastAsia="仿宋_GB2312" w:cs="仿宋_GB2312"/>
          <w:bCs/>
          <w:color w:val="000000" w:themeColor="text1"/>
          <w:sz w:val="32"/>
          <w:szCs w:val="32"/>
          <w:lang w:bidi="ar"/>
          <w14:textFill>
            <w14:solidFill>
              <w14:schemeClr w14:val="tx1"/>
            </w14:solidFill>
          </w14:textFill>
        </w:rPr>
        <w:t>决定书之日起15日内依法向</w:t>
      </w:r>
      <w:r>
        <w:rPr>
          <w:rFonts w:hint="eastAsia" w:ascii="仿宋_GB2312" w:hAnsi="仿宋_GB2312" w:eastAsia="仿宋_GB2312" w:cs="仿宋_GB2312"/>
          <w:bCs/>
          <w:color w:val="000000" w:themeColor="text1"/>
          <w:sz w:val="32"/>
          <w:szCs w:val="32"/>
          <w:lang w:val="en-US" w:eastAsia="zh-CN" w:bidi="ar"/>
          <w14:textFill>
            <w14:solidFill>
              <w14:schemeClr w14:val="tx1"/>
            </w14:solidFill>
          </w14:textFill>
        </w:rPr>
        <w:t>有管辖权的</w:t>
      </w:r>
      <w:r>
        <w:rPr>
          <w:rFonts w:hint="eastAsia" w:ascii="仿宋_GB2312" w:hAnsi="仿宋_GB2312" w:eastAsia="仿宋_GB2312" w:cs="仿宋_GB2312"/>
          <w:bCs/>
          <w:color w:val="000000" w:themeColor="text1"/>
          <w:sz w:val="32"/>
          <w:szCs w:val="32"/>
          <w:lang w:bidi="ar"/>
          <w14:textFill>
            <w14:solidFill>
              <w14:schemeClr w14:val="tx1"/>
            </w14:solidFill>
          </w14:textFill>
        </w:rPr>
        <w:t>人民法院提起行政</w:t>
      </w:r>
      <w:bookmarkStart w:id="0" w:name="_GoBack"/>
      <w:bookmarkEnd w:id="0"/>
      <w:r>
        <w:rPr>
          <w:rFonts w:hint="eastAsia" w:ascii="仿宋_GB2312" w:hAnsi="仿宋_GB2312" w:eastAsia="仿宋_GB2312" w:cs="仿宋_GB2312"/>
          <w:bCs/>
          <w:color w:val="000000" w:themeColor="text1"/>
          <w:sz w:val="32"/>
          <w:szCs w:val="32"/>
          <w:lang w:bidi="ar"/>
          <w14:textFill>
            <w14:solidFill>
              <w14:schemeClr w14:val="tx1"/>
            </w14:solidFill>
          </w14:textFill>
        </w:rPr>
        <w:t>诉讼。</w:t>
      </w:r>
    </w:p>
    <w:p w14:paraId="3B22A344">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p>
    <w:p w14:paraId="7D465E82">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p>
    <w:p w14:paraId="47E41950">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泉州市丰泽区人民政府</w:t>
      </w:r>
    </w:p>
    <w:p w14:paraId="30C06FA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2026</w:t>
      </w:r>
      <w:r>
        <w:rPr>
          <w:rFonts w:hint="eastAsia" w:ascii="仿宋_GB2312" w:hAnsi="仿宋_GB2312" w:eastAsia="仿宋_GB2312" w:cs="仿宋_GB2312"/>
          <w:bCs/>
          <w:color w:val="000000" w:themeColor="text1"/>
          <w:sz w:val="32"/>
          <w:szCs w:val="32"/>
          <w14:textFill>
            <w14:solidFill>
              <w14:schemeClr w14:val="tx1"/>
            </w14:solidFill>
          </w14:textFill>
        </w:rPr>
        <w:t>年</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bCs/>
          <w:color w:val="000000" w:themeColor="text1"/>
          <w:sz w:val="32"/>
          <w:szCs w:val="32"/>
          <w14:textFill>
            <w14:solidFill>
              <w14:schemeClr w14:val="tx1"/>
            </w14:solidFill>
          </w14:textFill>
        </w:rPr>
        <w:t>日</w:t>
      </w:r>
    </w:p>
    <w:p w14:paraId="2D99338E">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sectPr>
          <w:footerReference r:id="rId4" w:type="first"/>
          <w:footerReference r:id="rId3" w:type="default"/>
          <w:pgSz w:w="11906" w:h="16838"/>
          <w:pgMar w:top="1440" w:right="1474" w:bottom="1440" w:left="1474" w:header="851" w:footer="992" w:gutter="0"/>
          <w:pgNumType w:fmt="decimal"/>
          <w:cols w:space="720" w:num="1"/>
          <w:titlePg/>
          <w:docGrid w:type="lines" w:linePitch="315" w:charSpace="0"/>
        </w:sectPr>
      </w:pPr>
    </w:p>
    <w:p w14:paraId="31FD118E">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（附）本案引用的部分法律条文：</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 xml:space="preserve">     </w:t>
      </w:r>
    </w:p>
    <w:p w14:paraId="68E57C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《中华人民共和国行政复议法》（2023年修订）</w:t>
      </w:r>
    </w:p>
    <w:p w14:paraId="5CFAC859">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both"/>
        <w:textAlignment w:val="auto"/>
        <w:outlineLvl w:val="9"/>
        <w:rPr>
          <w:rFonts w:hint="eastAsia" w:ascii="仿宋_GB2312" w:hAnsi="仿宋_GB2312" w:eastAsia="仿宋_GB2312" w:cs="仿宋_GB2312"/>
          <w:b/>
          <w:bCs/>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第六十八条</w:t>
      </w:r>
      <w:r>
        <w:rPr>
          <w:rFonts w:hint="eastAsia" w:ascii="仿宋_GB2312" w:hAnsi="仿宋_GB2312" w:eastAsia="仿宋_GB2312" w:cs="仿宋_GB2312"/>
          <w:b w:val="0"/>
          <w:bCs w:val="0"/>
          <w:color w:val="000000"/>
          <w:kern w:val="0"/>
          <w:sz w:val="28"/>
          <w:szCs w:val="28"/>
          <w:lang w:val="en-US" w:eastAsia="zh-CN"/>
        </w:rPr>
        <w:t>　行政行为认定事实清楚，证据确凿，适用依据正确，程序合法，内容适当的，行政复议机关决定维持该行政行为。</w:t>
      </w:r>
    </w:p>
    <w:p w14:paraId="1BB1C8B5">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4FA19A36">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《市场监督管理投诉举报处理暂行办法》</w:t>
      </w:r>
    </w:p>
    <w:p w14:paraId="6ECFE8A2">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both"/>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kern w:val="0"/>
          <w:sz w:val="28"/>
          <w:szCs w:val="28"/>
          <w:lang w:val="en-US" w:eastAsia="zh-CN"/>
        </w:rPr>
        <w:t xml:space="preserve">第三十一条 </w:t>
      </w:r>
      <w:r>
        <w:rPr>
          <w:rFonts w:hint="eastAsia" w:ascii="仿宋_GB2312" w:hAnsi="仿宋_GB2312" w:eastAsia="仿宋_GB2312" w:cs="仿宋_GB2312"/>
          <w:b w:val="0"/>
          <w:bCs w:val="0"/>
          <w:color w:val="000000"/>
          <w:kern w:val="0"/>
          <w:sz w:val="28"/>
          <w:szCs w:val="28"/>
          <w:lang w:val="en-US" w:eastAsia="zh-CN"/>
        </w:rPr>
        <w:t xml:space="preserve"> 市场监督管理部门应当按照市场监督管理行政处罚等有关规定处理举报。举报人实名举报的，有处理权限的市场监督管理部门还应当自作出是否立案决定之日起五个工作日内告知举报人。</w:t>
      </w:r>
    </w:p>
    <w:p w14:paraId="5B6ADC1E">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22B846BE">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《市场监督管理行政处罚程序规定》</w:t>
      </w:r>
    </w:p>
    <w:p w14:paraId="61CEEDD8">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第十八条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 xml:space="preserve"> 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w:t>
      </w:r>
    </w:p>
    <w:p w14:paraId="0EE40767">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检测、检验、检疫、鉴定以及权利人辨认或者鉴别等所需时间，不计入前款规定期限。</w:t>
      </w:r>
    </w:p>
    <w:p w14:paraId="12DE0349">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 xml:space="preserve">第十九条 </w:t>
      </w:r>
      <w:r>
        <w:rPr>
          <w:rFonts w:hint="eastAsia" w:ascii="仿宋_GB2312" w:hAnsi="仿宋_GB2312" w:eastAsia="仿宋_GB2312" w:cs="仿宋_GB2312"/>
          <w:color w:val="000000"/>
          <w:kern w:val="0"/>
          <w:sz w:val="28"/>
          <w:szCs w:val="28"/>
          <w:lang w:val="en-US" w:eastAsia="zh-CN"/>
        </w:rPr>
        <w:t xml:space="preserve"> 经核查，符合下列条件的，应当立案：</w:t>
      </w:r>
    </w:p>
    <w:p w14:paraId="21627FAF">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0" w:firstLineChars="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（一）有证据初步证明存在违反市场监督管理法律、法规、规章的行为；</w:t>
      </w:r>
    </w:p>
    <w:p w14:paraId="138669D3">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0" w:firstLineChars="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（二）依据市场监督管理法律、法规、规章应当给予行政处罚；</w:t>
      </w:r>
    </w:p>
    <w:p w14:paraId="4E19EF93">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0" w:firstLineChars="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（三）属于本部门管辖；</w:t>
      </w:r>
    </w:p>
    <w:p w14:paraId="45BDD65A">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0" w:firstLineChars="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（四）在给予行政处罚的法定期限内。</w:t>
      </w:r>
    </w:p>
    <w:p w14:paraId="4E6CFF32">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0" w:firstLineChars="0"/>
        <w:jc w:val="both"/>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color w:val="000000"/>
          <w:kern w:val="0"/>
          <w:sz w:val="28"/>
          <w:szCs w:val="28"/>
          <w:lang w:val="en-US" w:eastAsia="zh-CN"/>
        </w:rPr>
        <w:t>　　决定立案的，应当填写立案审批表，由办案机构负责人指定两名以上具有行政执法资格的办案人员负责调查处理。</w:t>
      </w:r>
    </w:p>
    <w:p w14:paraId="48018007">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37E23DA8">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both"/>
        <w:textAlignment w:val="auto"/>
        <w:outlineLvl w:val="9"/>
        <w:rPr>
          <w:rFonts w:hint="eastAsia" w:ascii="仿宋_GB2312" w:hAnsi="仿宋_GB2312" w:eastAsia="仿宋_GB2312" w:cs="仿宋_GB2312"/>
          <w:b w:val="0"/>
          <w:bCs w:val="0"/>
          <w:color w:val="000000"/>
          <w:kern w:val="0"/>
          <w:sz w:val="28"/>
          <w:szCs w:val="28"/>
          <w:lang w:val="en-US" w:eastAsia="zh-CN"/>
        </w:rPr>
      </w:pPr>
    </w:p>
    <w:p w14:paraId="189BD558"/>
    <w:sectPr>
      <w:footerReference r:id="rId6" w:type="first"/>
      <w:footerReference r:id="rId5" w:type="default"/>
      <w:pgSz w:w="11906" w:h="16838"/>
      <w:pgMar w:top="1440" w:right="1474" w:bottom="1440" w:left="1474" w:header="851" w:footer="992" w:gutter="0"/>
      <w:pgNumType w:fmt="decimal"/>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378A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F45852">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DF45852">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1C1B0">
    <w:pPr>
      <w:pStyle w:val="4"/>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2E453">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774FF">
    <w:pPr>
      <w:pStyle w:val="4"/>
      <w:tabs>
        <w:tab w:val="clear" w:pos="4153"/>
      </w:tabs>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3573B"/>
    <w:rsid w:val="06606BFB"/>
    <w:rsid w:val="06C929F2"/>
    <w:rsid w:val="08D436EC"/>
    <w:rsid w:val="0C76641E"/>
    <w:rsid w:val="0CBE3645"/>
    <w:rsid w:val="0F6D468A"/>
    <w:rsid w:val="11B63052"/>
    <w:rsid w:val="137836D4"/>
    <w:rsid w:val="18F57676"/>
    <w:rsid w:val="1A0C4C78"/>
    <w:rsid w:val="1B045B0B"/>
    <w:rsid w:val="22DE4734"/>
    <w:rsid w:val="25D26F4E"/>
    <w:rsid w:val="26485289"/>
    <w:rsid w:val="297B7724"/>
    <w:rsid w:val="298F7940"/>
    <w:rsid w:val="2B830B12"/>
    <w:rsid w:val="32E427DE"/>
    <w:rsid w:val="38E3573B"/>
    <w:rsid w:val="3A6D30B9"/>
    <w:rsid w:val="3E385412"/>
    <w:rsid w:val="4493196E"/>
    <w:rsid w:val="4D92310A"/>
    <w:rsid w:val="4FC75C90"/>
    <w:rsid w:val="541063E8"/>
    <w:rsid w:val="556A2277"/>
    <w:rsid w:val="5DB9F31C"/>
    <w:rsid w:val="66A3383B"/>
    <w:rsid w:val="67C3769D"/>
    <w:rsid w:val="681F5143"/>
    <w:rsid w:val="682A1574"/>
    <w:rsid w:val="69360996"/>
    <w:rsid w:val="72B93483"/>
    <w:rsid w:val="73A5478C"/>
    <w:rsid w:val="73FC27DC"/>
    <w:rsid w:val="791365FE"/>
    <w:rsid w:val="7BEE0DCC"/>
    <w:rsid w:val="7EBF106A"/>
    <w:rsid w:val="7FF82776"/>
    <w:rsid w:val="FBEE6EBA"/>
    <w:rsid w:val="FBFF9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qFormat/>
    <w:uiPriority w:val="0"/>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rPr>
      <w:lang w:val="en-US" w:eastAsia="zh-CN" w:bidi="ar-SA"/>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6314</Words>
  <Characters>6737</Characters>
  <Lines>0</Lines>
  <Paragraphs>0</Paragraphs>
  <TotalTime>4</TotalTime>
  <ScaleCrop>false</ScaleCrop>
  <LinksUpToDate>false</LinksUpToDate>
  <CharactersWithSpaces>6839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2025-12-30T11:09:00Z</dcterms:created>
  <dc:creator>许文财</dc:creator>
  <cp:lastModifiedBy>许文财</cp:lastModifiedBy>
  <dcterms:modified xsi:type="dcterms:W3CDTF">2026-03-06T03:33:33Z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A84873B749044116B9A604E085E1F67C_13</vt:lpwstr>
  </property>
  <property fmtid="{D5CDD505-2E9C-101B-9397-08002B2CF9AE}" pid="4" name="KSOTemplateDocerSaveRecord">
    <vt:lpwstr>eyJoZGlkIjoiZjVjMGVkYjE0ZDRiMjhhNjM3MjEzMTIyZTU5NjkxYTAiLCJ1c2VySWQiOiI0OTIwNDMxOTcifQ==</vt:lpwstr>
  </property>
</Properties>
</file>