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F7D5F">
      <w:pPr>
        <w:widowControl/>
        <w:wordWrap w:val="0"/>
        <w:spacing w:line="582" w:lineRule="exact"/>
        <w:jc w:val="center"/>
        <w:rPr>
          <w:rFonts w:ascii="Arial Unicode MS" w:hAnsi="Arial Unicode MS" w:eastAsia="Arial Unicode MS" w:cs="Arial Unicode MS"/>
          <w:kern w:val="0"/>
          <w:sz w:val="44"/>
          <w:szCs w:val="44"/>
        </w:rPr>
      </w:pPr>
    </w:p>
    <w:p w14:paraId="0ED1CB1E">
      <w:pPr>
        <w:widowControl/>
        <w:wordWrap w:val="0"/>
        <w:spacing w:line="582" w:lineRule="exact"/>
        <w:jc w:val="center"/>
        <w:rPr>
          <w:rFonts w:ascii="Arial Unicode MS" w:hAnsi="Arial Unicode MS" w:eastAsia="Arial Unicode MS" w:cs="Arial Unicode MS"/>
          <w:kern w:val="0"/>
          <w:sz w:val="44"/>
          <w:szCs w:val="44"/>
        </w:rPr>
      </w:pPr>
    </w:p>
    <w:p w14:paraId="641180F2">
      <w:pPr>
        <w:widowControl/>
        <w:wordWrap w:val="0"/>
        <w:spacing w:line="582" w:lineRule="exact"/>
        <w:jc w:val="center"/>
        <w:rPr>
          <w:rFonts w:ascii="Arial Unicode MS" w:hAnsi="Arial Unicode MS" w:eastAsia="Arial Unicode MS" w:cs="Arial Unicode MS"/>
          <w:kern w:val="0"/>
          <w:sz w:val="44"/>
          <w:szCs w:val="44"/>
        </w:rPr>
      </w:pPr>
    </w:p>
    <w:p w14:paraId="76A0E8DA">
      <w:pPr>
        <w:widowControl/>
        <w:wordWrap w:val="0"/>
        <w:spacing w:line="582"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行政复议决定书</w:t>
      </w:r>
    </w:p>
    <w:p w14:paraId="3735704A">
      <w:pPr>
        <w:widowControl/>
        <w:spacing w:line="582" w:lineRule="exact"/>
        <w:rPr>
          <w:rFonts w:ascii="楷体_GB2312" w:hAnsi="楷体_GB2312" w:eastAsia="楷体_GB2312" w:cs="楷体_GB2312"/>
          <w:sz w:val="32"/>
          <w:szCs w:val="32"/>
        </w:rPr>
      </w:pPr>
    </w:p>
    <w:p w14:paraId="53A5F22D">
      <w:pPr>
        <w:widowControl/>
        <w:spacing w:line="582" w:lineRule="exact"/>
        <w:rPr>
          <w:rFonts w:ascii="楷体_GB2312" w:hAnsi="楷体_GB2312" w:eastAsia="楷体_GB2312" w:cs="楷体_GB2312"/>
          <w:sz w:val="32"/>
          <w:szCs w:val="32"/>
        </w:rPr>
      </w:pPr>
      <w:r>
        <w:rPr>
          <w:rFonts w:hint="eastAsia" w:ascii="楷体_GB2312" w:hAnsi="楷体_GB2312" w:eastAsia="楷体_GB2312" w:cs="楷体_GB2312"/>
          <w:sz w:val="32"/>
          <w:szCs w:val="32"/>
        </w:rPr>
        <w:t xml:space="preserve">                            泉丰政行复〔2024〕</w:t>
      </w:r>
      <w:r>
        <w:rPr>
          <w:rFonts w:hint="eastAsia" w:ascii="楷体_GB2312" w:hAnsi="楷体_GB2312" w:eastAsia="楷体_GB2312" w:cs="楷体_GB2312"/>
          <w:sz w:val="32"/>
          <w:szCs w:val="32"/>
          <w:lang w:val="en-US" w:eastAsia="zh-CN"/>
        </w:rPr>
        <w:t>191</w:t>
      </w:r>
      <w:r>
        <w:rPr>
          <w:rFonts w:hint="eastAsia" w:ascii="楷体_GB2312" w:hAnsi="楷体_GB2312" w:eastAsia="楷体_GB2312" w:cs="楷体_GB2312"/>
          <w:sz w:val="32"/>
          <w:szCs w:val="32"/>
        </w:rPr>
        <w:t>号</w:t>
      </w:r>
    </w:p>
    <w:p w14:paraId="5931691F">
      <w:pPr>
        <w:widowControl/>
        <w:spacing w:line="579" w:lineRule="exact"/>
        <w:jc w:val="both"/>
        <w:rPr>
          <w:rFonts w:ascii="楷体_GB2312" w:hAnsi="宋体" w:eastAsia="楷体_GB2312" w:cs="楷体_GB2312"/>
          <w:kern w:val="0"/>
          <w:sz w:val="32"/>
          <w:szCs w:val="32"/>
        </w:rPr>
      </w:pPr>
    </w:p>
    <w:p w14:paraId="1F91C3A6">
      <w:pPr>
        <w:widowControl/>
        <w:spacing w:line="579" w:lineRule="exact"/>
        <w:ind w:firstLine="643" w:firstLineChars="200"/>
        <w:jc w:val="both"/>
        <w:rPr>
          <w:rFonts w:hint="eastAsia" w:ascii="仿宋_GB2312" w:hAnsi="仿宋_GB2312" w:eastAsia="仿宋_GB2312" w:cs="仿宋_GB2312"/>
          <w:bCs/>
          <w:kern w:val="0"/>
          <w:sz w:val="32"/>
          <w:szCs w:val="32"/>
        </w:rPr>
      </w:pPr>
      <w:r>
        <w:rPr>
          <w:rFonts w:hint="eastAsia" w:ascii="仿宋_GB2312" w:hAnsi="仿宋_GB2312" w:eastAsia="仿宋_GB2312" w:cs="仿宋_GB2312"/>
          <w:b/>
          <w:kern w:val="0"/>
          <w:sz w:val="32"/>
          <w:szCs w:val="32"/>
        </w:rPr>
        <w:t>申请人：</w:t>
      </w:r>
      <w:r>
        <w:rPr>
          <w:rFonts w:hint="eastAsia" w:ascii="仿宋_GB2312" w:hAnsi="仿宋_GB2312" w:eastAsia="仿宋_GB2312" w:cs="仿宋_GB2312"/>
          <w:bCs/>
          <w:kern w:val="0"/>
          <w:sz w:val="32"/>
          <w:szCs w:val="32"/>
          <w:lang w:eastAsia="zh-CN"/>
        </w:rPr>
        <w:t>仲某某</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lang w:eastAsia="zh-CN"/>
        </w:rPr>
        <w:t>女</w:t>
      </w:r>
      <w:r>
        <w:rPr>
          <w:rFonts w:hint="eastAsia" w:ascii="仿宋_GB2312" w:hAnsi="仿宋_GB2312" w:eastAsia="仿宋_GB2312" w:cs="仿宋_GB2312"/>
          <w:bCs/>
          <w:kern w:val="0"/>
          <w:sz w:val="32"/>
          <w:szCs w:val="32"/>
        </w:rPr>
        <w:t>，汉族，19</w:t>
      </w:r>
      <w:r>
        <w:rPr>
          <w:rFonts w:hint="eastAsia" w:ascii="仿宋_GB2312" w:hAnsi="仿宋_GB2312" w:eastAsia="仿宋_GB2312" w:cs="仿宋_GB2312"/>
          <w:b w:val="0"/>
          <w:bCs/>
          <w:color w:val="auto"/>
          <w:kern w:val="0"/>
          <w:sz w:val="32"/>
          <w:szCs w:val="32"/>
          <w:highlight w:val="none"/>
          <w:u w:val="none"/>
          <w:lang w:val="en-US" w:eastAsia="zh-CN"/>
        </w:rPr>
        <w:t>**年*月**日</w:t>
      </w:r>
      <w:r>
        <w:rPr>
          <w:rFonts w:hint="eastAsia" w:ascii="仿宋_GB2312" w:hAnsi="仿宋_GB2312" w:eastAsia="仿宋_GB2312" w:cs="仿宋_GB2312"/>
          <w:bCs/>
          <w:kern w:val="0"/>
          <w:sz w:val="32"/>
          <w:szCs w:val="32"/>
        </w:rPr>
        <w:t>出生，公民身份号码</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320</w:t>
      </w:r>
      <w:r>
        <w:rPr>
          <w:rFonts w:hint="eastAsia" w:ascii="仿宋_GB2312" w:hAnsi="仿宋_GB2312" w:eastAsia="仿宋_GB2312" w:cs="仿宋_GB2312"/>
          <w:bCs/>
          <w:color w:val="auto"/>
          <w:kern w:val="0"/>
          <w:sz w:val="32"/>
          <w:szCs w:val="32"/>
          <w:lang w:val="en-US" w:eastAsia="zh-CN"/>
        </w:rPr>
        <w:t>***********</w:t>
      </w:r>
      <w:r>
        <w:rPr>
          <w:rFonts w:hint="eastAsia" w:ascii="仿宋_GB2312" w:hAnsi="仿宋_GB2312" w:eastAsia="仿宋_GB2312" w:cs="仿宋_GB2312"/>
          <w:bCs/>
          <w:kern w:val="0"/>
          <w:sz w:val="32"/>
          <w:szCs w:val="32"/>
          <w:lang w:val="en-US" w:eastAsia="zh-CN"/>
        </w:rPr>
        <w:t>0446</w:t>
      </w:r>
      <w:r>
        <w:rPr>
          <w:rFonts w:hint="eastAsia" w:ascii="仿宋_GB2312" w:hAnsi="仿宋_GB2312" w:eastAsia="仿宋_GB2312" w:cs="仿宋_GB2312"/>
          <w:bCs/>
          <w:kern w:val="0"/>
          <w:sz w:val="32"/>
          <w:szCs w:val="32"/>
        </w:rPr>
        <w:t>，住址：</w:t>
      </w:r>
      <w:r>
        <w:rPr>
          <w:rFonts w:hint="eastAsia" w:ascii="仿宋_GB2312" w:hAnsi="仿宋_GB2312" w:eastAsia="仿宋_GB2312" w:cs="仿宋_GB2312"/>
          <w:bCs/>
          <w:kern w:val="0"/>
          <w:sz w:val="32"/>
          <w:szCs w:val="32"/>
          <w:lang w:eastAsia="zh-CN"/>
        </w:rPr>
        <w:t>江苏省</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lang w:eastAsia="zh-CN"/>
        </w:rPr>
        <w:t>市</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lang w:eastAsia="zh-CN"/>
        </w:rPr>
        <w:t>路</w:t>
      </w:r>
      <w:r>
        <w:rPr>
          <w:rFonts w:hint="eastAsia" w:ascii="仿宋_GB2312" w:hAnsi="仿宋_GB2312" w:eastAsia="仿宋_GB2312" w:cs="仿宋_GB2312"/>
          <w:bCs/>
          <w:kern w:val="0"/>
          <w:sz w:val="32"/>
          <w:szCs w:val="32"/>
          <w:lang w:val="en-US" w:eastAsia="zh-CN"/>
        </w:rPr>
        <w:t>**号</w:t>
      </w:r>
      <w:r>
        <w:rPr>
          <w:rFonts w:hint="eastAsia" w:ascii="仿宋_GB2312" w:hAnsi="仿宋_GB2312" w:eastAsia="仿宋_GB2312" w:cs="仿宋_GB2312"/>
          <w:bCs/>
          <w:kern w:val="0"/>
          <w:sz w:val="32"/>
          <w:szCs w:val="32"/>
        </w:rPr>
        <w:t>。</w:t>
      </w:r>
    </w:p>
    <w:p w14:paraId="4E74ECDF">
      <w:pPr>
        <w:widowControl/>
        <w:spacing w:line="579" w:lineRule="exact"/>
        <w:ind w:firstLine="643" w:firstLineChars="200"/>
        <w:jc w:val="both"/>
        <w:rPr>
          <w:rFonts w:ascii="仿宋_GB2312" w:hAnsi="仿宋_GB2312" w:eastAsia="仿宋_GB2312" w:cs="仿宋_GB2312"/>
          <w:bCs/>
          <w:kern w:val="0"/>
          <w:sz w:val="32"/>
          <w:szCs w:val="32"/>
        </w:rPr>
      </w:pPr>
      <w:r>
        <w:rPr>
          <w:rFonts w:hint="eastAsia" w:ascii="仿宋_GB2312" w:hAnsi="仿宋_GB2312" w:eastAsia="仿宋_GB2312" w:cs="仿宋_GB2312"/>
          <w:b/>
          <w:kern w:val="0"/>
          <w:sz w:val="32"/>
          <w:szCs w:val="32"/>
        </w:rPr>
        <w:t>被申请人：</w:t>
      </w:r>
      <w:r>
        <w:rPr>
          <w:rFonts w:hint="eastAsia" w:ascii="仿宋_GB2312" w:hAnsi="仿宋_GB2312" w:eastAsia="仿宋_GB2312" w:cs="仿宋_GB2312"/>
          <w:bCs/>
          <w:sz w:val="32"/>
          <w:szCs w:val="32"/>
        </w:rPr>
        <w:t>泉州市丰泽区市场监督管理局，</w:t>
      </w:r>
      <w:r>
        <w:rPr>
          <w:rFonts w:hint="eastAsia" w:ascii="仿宋_GB2312" w:hAnsi="仿宋_GB2312" w:eastAsia="仿宋_GB2312" w:cs="仿宋_GB2312"/>
          <w:bCs/>
          <w:kern w:val="0"/>
          <w:sz w:val="32"/>
          <w:szCs w:val="32"/>
        </w:rPr>
        <w:t>地址：泉州市丰泽区刺桐西路瑞祥西苑1号楼。</w:t>
      </w:r>
    </w:p>
    <w:p w14:paraId="737A9C19">
      <w:pPr>
        <w:widowControl/>
        <w:spacing w:line="579" w:lineRule="exact"/>
        <w:ind w:firstLine="640" w:firstLineChars="200"/>
        <w:jc w:val="both"/>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法定代表人：康招传，职务：局长。</w:t>
      </w:r>
    </w:p>
    <w:p w14:paraId="4F0BF6D6">
      <w:pPr>
        <w:spacing w:line="579" w:lineRule="exact"/>
        <w:ind w:firstLine="640" w:firstLineChars="200"/>
        <w:jc w:val="both"/>
        <w:rPr>
          <w:rFonts w:ascii="仿宋_GB2312" w:hAnsi="仿宋_GB2312" w:eastAsia="仿宋_GB2312" w:cs="仿宋_GB2312"/>
          <w:bCs/>
          <w:kern w:val="0"/>
          <w:sz w:val="32"/>
          <w:szCs w:val="32"/>
        </w:rPr>
      </w:pPr>
    </w:p>
    <w:p w14:paraId="6F918683">
      <w:pPr>
        <w:keepNext w:val="0"/>
        <w:keepLines w:val="0"/>
        <w:pageBreakBefore w:val="0"/>
        <w:overflowPunct/>
        <w:topLinePunct w:val="0"/>
        <w:bidi w:val="0"/>
        <w:adjustRightInd/>
        <w:spacing w:line="579" w:lineRule="exact"/>
        <w:ind w:firstLine="640" w:firstLineChars="200"/>
        <w:jc w:val="both"/>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申请人</w:t>
      </w:r>
      <w:r>
        <w:rPr>
          <w:rFonts w:hint="eastAsia" w:ascii="仿宋_GB2312" w:hAnsi="仿宋_GB2312" w:eastAsia="仿宋_GB2312" w:cs="仿宋_GB2312"/>
          <w:bCs/>
          <w:kern w:val="0"/>
          <w:sz w:val="32"/>
          <w:szCs w:val="32"/>
          <w:lang w:eastAsia="zh-CN"/>
        </w:rPr>
        <w:t>仲某某</w:t>
      </w:r>
      <w:r>
        <w:rPr>
          <w:rFonts w:hint="eastAsia" w:ascii="仿宋_GB2312" w:hAnsi="仿宋_GB2312" w:eastAsia="仿宋_GB2312" w:cs="仿宋_GB2312"/>
          <w:bCs/>
          <w:kern w:val="0"/>
          <w:sz w:val="32"/>
          <w:szCs w:val="32"/>
        </w:rPr>
        <w:t>不服被申请人泉州市丰泽区市场监督管理局就其举报事项作出的不予立案决定，向本机关邮寄行政复议申请材料，本机关于2024年</w:t>
      </w:r>
      <w:r>
        <w:rPr>
          <w:rFonts w:hint="eastAsia" w:ascii="仿宋_GB2312" w:hAnsi="仿宋_GB2312" w:eastAsia="仿宋_GB2312" w:cs="仿宋_GB2312"/>
          <w:bCs/>
          <w:kern w:val="0"/>
          <w:sz w:val="32"/>
          <w:szCs w:val="32"/>
          <w:lang w:val="en-US" w:eastAsia="zh-CN"/>
        </w:rPr>
        <w:t>9</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日收悉。经审查，本机关于2024年</w:t>
      </w:r>
      <w:r>
        <w:rPr>
          <w:rFonts w:hint="eastAsia" w:ascii="仿宋_GB2312" w:hAnsi="仿宋_GB2312" w:eastAsia="仿宋_GB2312" w:cs="仿宋_GB2312"/>
          <w:bCs/>
          <w:kern w:val="0"/>
          <w:sz w:val="32"/>
          <w:szCs w:val="32"/>
          <w:lang w:val="en-US" w:eastAsia="zh-CN"/>
        </w:rPr>
        <w:t>9</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11</w:t>
      </w:r>
      <w:r>
        <w:rPr>
          <w:rFonts w:hint="eastAsia" w:ascii="仿宋_GB2312" w:hAnsi="仿宋_GB2312" w:eastAsia="仿宋_GB2312" w:cs="仿宋_GB2312"/>
          <w:bCs/>
          <w:kern w:val="0"/>
          <w:sz w:val="32"/>
          <w:szCs w:val="32"/>
        </w:rPr>
        <w:t>日依法予以受理并适用普通程序审理。现已审理终结。</w:t>
      </w:r>
    </w:p>
    <w:p w14:paraId="33431D49">
      <w:pPr>
        <w:keepNext w:val="0"/>
        <w:keepLines w:val="0"/>
        <w:pageBreakBefore w:val="0"/>
        <w:wordWrap w:val="0"/>
        <w:overflowPunct/>
        <w:topLinePunct w:val="0"/>
        <w:bidi w:val="0"/>
        <w:adjustRightInd/>
        <w:spacing w:line="579" w:lineRule="exact"/>
        <w:ind w:firstLine="643"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申请人请求：</w:t>
      </w: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lang w:eastAsia="zh-CN"/>
        </w:rPr>
        <w:t>撤销</w:t>
      </w:r>
      <w:r>
        <w:rPr>
          <w:rFonts w:hint="eastAsia" w:ascii="仿宋_GB2312" w:hAnsi="仿宋_GB2312" w:eastAsia="仿宋_GB2312" w:cs="仿宋_GB2312"/>
          <w:bCs/>
          <w:kern w:val="0"/>
          <w:sz w:val="32"/>
          <w:szCs w:val="32"/>
        </w:rPr>
        <w:t>被申请人就申请人举报事项作出的</w:t>
      </w:r>
      <w:r>
        <w:rPr>
          <w:rFonts w:hint="eastAsia" w:ascii="仿宋_GB2312" w:hAnsi="仿宋_GB2312" w:eastAsia="仿宋_GB2312" w:cs="仿宋_GB2312"/>
          <w:bCs/>
          <w:kern w:val="0"/>
          <w:sz w:val="32"/>
          <w:szCs w:val="32"/>
          <w:lang w:eastAsia="zh-CN"/>
        </w:rPr>
        <w:t>不予立案决定；</w:t>
      </w: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lang w:eastAsia="zh-CN"/>
        </w:rPr>
        <w:t>责令被申请人重新作出处理并书面答复申请人</w:t>
      </w:r>
      <w:r>
        <w:rPr>
          <w:rFonts w:hint="eastAsia" w:ascii="仿宋_GB2312" w:hAnsi="仿宋_GB2312" w:eastAsia="仿宋_GB2312" w:cs="仿宋_GB2312"/>
          <w:bCs/>
          <w:kern w:val="0"/>
          <w:sz w:val="32"/>
          <w:szCs w:val="32"/>
        </w:rPr>
        <w:t>。</w:t>
      </w:r>
    </w:p>
    <w:p w14:paraId="65E9BA71">
      <w:pPr>
        <w:keepNext w:val="0"/>
        <w:keepLines w:val="0"/>
        <w:pageBreakBefore w:val="0"/>
        <w:overflowPunct/>
        <w:topLinePunct w:val="0"/>
        <w:bidi w:val="0"/>
        <w:adjustRightInd/>
        <w:spacing w:line="579" w:lineRule="exact"/>
        <w:ind w:firstLine="640"/>
        <w:jc w:val="both"/>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bCs/>
          <w:kern w:val="0"/>
          <w:sz w:val="32"/>
          <w:szCs w:val="32"/>
        </w:rPr>
        <w:t>申请人称：</w:t>
      </w:r>
      <w:r>
        <w:rPr>
          <w:rFonts w:hint="eastAsia" w:ascii="仿宋_GB2312" w:hAnsi="仿宋_GB2312" w:eastAsia="仿宋_GB2312" w:cs="仿宋_GB2312"/>
          <w:b w:val="0"/>
          <w:bCs w:val="0"/>
          <w:kern w:val="0"/>
          <w:sz w:val="32"/>
          <w:szCs w:val="32"/>
        </w:rPr>
        <w:t>申请人在泉州市</w:t>
      </w:r>
      <w:r>
        <w:rPr>
          <w:rFonts w:hint="eastAsia" w:ascii="仿宋_GB2312" w:hAnsi="仿宋_GB2312" w:eastAsia="仿宋_GB2312" w:cs="仿宋_GB2312"/>
          <w:b w:val="0"/>
          <w:bCs w:val="0"/>
          <w:kern w:val="0"/>
          <w:sz w:val="32"/>
          <w:szCs w:val="32"/>
          <w:lang w:eastAsia="zh-CN"/>
        </w:rPr>
        <w:t>某某</w:t>
      </w:r>
      <w:r>
        <w:rPr>
          <w:rFonts w:hint="eastAsia" w:ascii="仿宋_GB2312" w:hAnsi="仿宋_GB2312" w:eastAsia="仿宋_GB2312" w:cs="仿宋_GB2312"/>
          <w:b w:val="0"/>
          <w:bCs w:val="0"/>
          <w:kern w:val="0"/>
          <w:sz w:val="32"/>
          <w:szCs w:val="32"/>
        </w:rPr>
        <w:t>化妆品有限公司开的网店购买了一款</w:t>
      </w:r>
      <w:r>
        <w:rPr>
          <w:rFonts w:hint="eastAsia" w:ascii="仿宋_GB2312" w:hAnsi="仿宋_GB2312" w:eastAsia="仿宋_GB2312" w:cs="仿宋_GB2312"/>
          <w:b w:val="0"/>
          <w:bCs w:val="0"/>
          <w:kern w:val="0"/>
          <w:sz w:val="32"/>
          <w:szCs w:val="32"/>
          <w:lang w:eastAsia="zh-CN"/>
        </w:rPr>
        <w:t>某某</w:t>
      </w:r>
      <w:r>
        <w:rPr>
          <w:rFonts w:hint="eastAsia" w:ascii="仿宋_GB2312" w:hAnsi="仿宋_GB2312" w:eastAsia="仿宋_GB2312" w:cs="仿宋_GB2312"/>
          <w:b w:val="0"/>
          <w:bCs w:val="0"/>
          <w:kern w:val="0"/>
          <w:sz w:val="32"/>
          <w:szCs w:val="32"/>
        </w:rPr>
        <w:t>品牌的</w:t>
      </w:r>
      <w:r>
        <w:rPr>
          <w:rFonts w:hint="eastAsia" w:ascii="仿宋_GB2312" w:hAnsi="仿宋_GB2312" w:eastAsia="仿宋_GB2312" w:cs="仿宋_GB2312"/>
          <w:b w:val="0"/>
          <w:bCs w:val="0"/>
          <w:kern w:val="0"/>
          <w:sz w:val="32"/>
          <w:szCs w:val="32"/>
          <w:lang w:eastAsia="zh-CN"/>
        </w:rPr>
        <w:t>某某</w:t>
      </w:r>
      <w:r>
        <w:rPr>
          <w:rFonts w:hint="eastAsia" w:ascii="仿宋_GB2312" w:hAnsi="仿宋_GB2312" w:eastAsia="仿宋_GB2312" w:cs="仿宋_GB2312"/>
          <w:b w:val="0"/>
          <w:bCs w:val="0"/>
          <w:kern w:val="0"/>
          <w:sz w:val="32"/>
          <w:szCs w:val="32"/>
        </w:rPr>
        <w:t>繁星闪亮四色眼影05#裸装大地色，因在购物中产生交易纠纷并发现其存在违法行为，于2024年7月12日向被申请人邮寄了一份</w:t>
      </w:r>
      <w:r>
        <w:rPr>
          <w:rFonts w:hint="eastAsia" w:ascii="仿宋_GB2312" w:hAnsi="仿宋_GB2312" w:eastAsia="仿宋_GB2312" w:cs="仿宋_GB2312"/>
          <w:b w:val="0"/>
          <w:bCs w:val="0"/>
          <w:kern w:val="0"/>
          <w:sz w:val="32"/>
          <w:szCs w:val="32"/>
          <w:lang w:eastAsia="zh-CN"/>
        </w:rPr>
        <w:t>书面的</w:t>
      </w:r>
      <w:r>
        <w:rPr>
          <w:rFonts w:hint="eastAsia" w:ascii="仿宋_GB2312" w:hAnsi="仿宋_GB2312" w:eastAsia="仿宋_GB2312" w:cs="仿宋_GB2312"/>
          <w:b w:val="0"/>
          <w:bCs w:val="0"/>
          <w:kern w:val="0"/>
          <w:sz w:val="32"/>
          <w:szCs w:val="32"/>
        </w:rPr>
        <w:t>投诉举报履职申请书，后收到被申请人作出的短信答复</w:t>
      </w:r>
      <w:r>
        <w:rPr>
          <w:rFonts w:hint="eastAsia" w:ascii="仿宋_GB2312" w:hAnsi="仿宋_GB2312" w:eastAsia="仿宋_GB2312" w:cs="仿宋_GB2312"/>
          <w:b w:val="0"/>
          <w:bCs w:val="0"/>
          <w:kern w:val="0"/>
          <w:sz w:val="32"/>
          <w:szCs w:val="32"/>
          <w:lang w:eastAsia="zh-CN"/>
        </w:rPr>
        <w:t>不予立案</w:t>
      </w:r>
      <w:r>
        <w:rPr>
          <w:rFonts w:hint="eastAsia" w:ascii="仿宋_GB2312" w:hAnsi="仿宋_GB2312" w:eastAsia="仿宋_GB2312" w:cs="仿宋_GB2312"/>
          <w:b w:val="0"/>
          <w:bCs w:val="0"/>
          <w:kern w:val="0"/>
          <w:sz w:val="32"/>
          <w:szCs w:val="32"/>
        </w:rPr>
        <w:t>，申请人不服，依法提出行政复议。理由:</w:t>
      </w:r>
    </w:p>
    <w:p w14:paraId="10963570">
      <w:pPr>
        <w:keepNext w:val="0"/>
        <w:keepLines w:val="0"/>
        <w:pageBreakBefore w:val="0"/>
        <w:numPr>
          <w:ilvl w:val="0"/>
          <w:numId w:val="0"/>
        </w:numPr>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lang w:val="en-US" w:eastAsia="zh-CN"/>
        </w:rPr>
        <w:t>1.</w:t>
      </w:r>
      <w:r>
        <w:rPr>
          <w:rFonts w:hint="eastAsia" w:ascii="仿宋_GB2312" w:hAnsi="仿宋_GB2312" w:eastAsia="仿宋_GB2312" w:cs="仿宋_GB2312"/>
          <w:b w:val="0"/>
          <w:bCs w:val="0"/>
          <w:kern w:val="0"/>
          <w:sz w:val="32"/>
          <w:szCs w:val="32"/>
        </w:rPr>
        <w:t>申请人收到的涉案产品限用日期为2027年5月20日，依据《国务院关于加强食品等产品安全监督管理的特别规定》第五条</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销售者还应向供货商索要同批次的检验报告，无同批次检测报告不得销售。本案中被申请人未对检测报告编号进行认定，属于认定事实不清，未对检察报告中的检测批号与涉案产品检测批次是否一致进行认定，属于认定事实不清。被申请人应当核查被举报方是否按照《关于印发化妆品生产经营企业索证索票和台账管理规定的通知》核验保存了产品来源主体营业执照、化妆品生产许可证号、化妆品备案或注册凭证、检验合格证明等，并核查上述查验保存资料是否与销售记录中的信息一致，涉案产品的批号或生产日期是否一致，而被申请人行政答复书中未对进货查验的情况作出基本的事实认定，因此其行政答复书中存在主要事实不清的情形，依法应当予以纠正。同时被申请人未将检测报告编号等内容告知举报人，侵害了举报人的知情权。</w:t>
      </w:r>
    </w:p>
    <w:p w14:paraId="7344FA52">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2.</w:t>
      </w:r>
      <w:r>
        <w:rPr>
          <w:rFonts w:hint="eastAsia" w:ascii="仿宋_GB2312" w:hAnsi="仿宋_GB2312" w:eastAsia="仿宋_GB2312" w:cs="仿宋_GB2312"/>
          <w:bCs/>
          <w:kern w:val="0"/>
          <w:sz w:val="32"/>
          <w:szCs w:val="32"/>
        </w:rPr>
        <w:t>依据《化妆品监督管理条例》第六十二条第</w:t>
      </w:r>
      <w:r>
        <w:rPr>
          <w:rFonts w:hint="eastAsia" w:ascii="仿宋_GB2312" w:hAnsi="仿宋_GB2312" w:eastAsia="仿宋_GB2312" w:cs="仿宋_GB2312"/>
          <w:bCs/>
          <w:kern w:val="0"/>
          <w:sz w:val="32"/>
          <w:szCs w:val="32"/>
          <w:lang w:eastAsia="zh-CN"/>
        </w:rPr>
        <w:t>二</w:t>
      </w:r>
      <w:r>
        <w:rPr>
          <w:rFonts w:hint="eastAsia" w:ascii="仿宋_GB2312" w:hAnsi="仿宋_GB2312" w:eastAsia="仿宋_GB2312" w:cs="仿宋_GB2312"/>
          <w:bCs/>
          <w:kern w:val="0"/>
          <w:sz w:val="32"/>
          <w:szCs w:val="32"/>
        </w:rPr>
        <w:t>款，未建立并执行进货查验记录制度、产品销售记录制度的都属于违法行为，应当进行处罚。依据《关于印发化妆品生产经营企业索证索票和台账管理规定的通知》国食药监保化[2012]9号中的规定销售台账应当记录产品名称、批号、产品流向。库存等信息。被申请人并未按照法律规定对被举报方销售记录制度核查，属于失职行为。</w:t>
      </w:r>
    </w:p>
    <w:p w14:paraId="0A4FD015">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依据《化妆品生产经营监督管理办法》第十六条第二款具备儿童护肤类、眼部护肤类化妆品生产条件的，应当在生产许可项目中特别标注。本案中，申请人经查询发现涉案产品生产厂家中的许可范围并未标注眼部许可，可见其未取得生产眼部化妆品的资质，而依据《化妆品分类规则和分类目录》中的规定，眼部化妆品包含眼周皮肤、睫毛、眉毛，依据《化妆品生产经营监督管理办法》第五十八条第三款属于未经许可从事化妆品生产活动，应当依据《化妆品监督管理条例》第五十九条进行处罚，被申请人没有将厂家的违法行为移送至有管辖权的市场监管部门处理违反了《市场监督管理行政处罚程序规定》第十四条</w:t>
      </w:r>
      <w:r>
        <w:rPr>
          <w:rFonts w:hint="eastAsia" w:ascii="仿宋_GB2312" w:hAnsi="仿宋_GB2312" w:eastAsia="仿宋_GB2312" w:cs="仿宋_GB2312"/>
          <w:bCs/>
          <w:kern w:val="0"/>
          <w:sz w:val="32"/>
          <w:szCs w:val="32"/>
          <w:lang w:eastAsia="zh-CN"/>
        </w:rPr>
        <w:t>规定</w:t>
      </w:r>
      <w:r>
        <w:rPr>
          <w:rFonts w:hint="eastAsia" w:ascii="仿宋_GB2312" w:hAnsi="仿宋_GB2312" w:eastAsia="仿宋_GB2312" w:cs="仿宋_GB2312"/>
          <w:bCs/>
          <w:kern w:val="0"/>
          <w:sz w:val="32"/>
          <w:szCs w:val="32"/>
        </w:rPr>
        <w:t>。</w:t>
      </w:r>
    </w:p>
    <w:p w14:paraId="7C1A278C">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4.</w:t>
      </w:r>
      <w:r>
        <w:rPr>
          <w:rFonts w:hint="eastAsia" w:ascii="仿宋_GB2312" w:hAnsi="仿宋_GB2312" w:eastAsia="仿宋_GB2312" w:cs="仿宋_GB2312"/>
          <w:bCs/>
          <w:kern w:val="0"/>
          <w:sz w:val="32"/>
          <w:szCs w:val="32"/>
        </w:rPr>
        <w:t>依据最高院指导性案例等相关法律规定，行政机关作出行政行为必须有明确的法律依据，是其依法行使权力的前提条件，也是其行政行为合法性的依据，被申请人行政答复中未引用具体条款属适用法律错误，侵害了申请人知情权，行政行为不合法，其行政行为应当予以纠正，答复应当予以撤销。</w:t>
      </w:r>
    </w:p>
    <w:p w14:paraId="0B61F819">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5.</w:t>
      </w:r>
      <w:r>
        <w:rPr>
          <w:rFonts w:hint="eastAsia" w:ascii="仿宋_GB2312" w:hAnsi="仿宋_GB2312" w:eastAsia="仿宋_GB2312" w:cs="仿宋_GB2312"/>
          <w:bCs/>
          <w:kern w:val="0"/>
          <w:sz w:val="32"/>
          <w:szCs w:val="32"/>
        </w:rPr>
        <w:t>依据《行政复议法实施条例》第十七条</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行政机关作出的具体行政行为对公民、法人或者其他组织的权利、义务可能产生不利影响的，应当告知其申请行政复议的权利、行政复议机关和行政复议申请期限。因此被诉行政答复未告知诉权，属于违法行为。</w:t>
      </w:r>
    </w:p>
    <w:p w14:paraId="53878474">
      <w:pPr>
        <w:keepNext w:val="0"/>
        <w:keepLines w:val="0"/>
        <w:pageBreakBefore w:val="0"/>
        <w:overflowPunct/>
        <w:topLinePunct w:val="0"/>
        <w:bidi w:val="0"/>
        <w:adjustRightInd/>
        <w:spacing w:line="579" w:lineRule="exact"/>
        <w:ind w:firstLine="643"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被申请人称：</w:t>
      </w:r>
      <w:r>
        <w:rPr>
          <w:rFonts w:hint="eastAsia" w:ascii="仿宋_GB2312" w:hAnsi="仿宋_GB2312" w:eastAsia="仿宋_GB2312" w:cs="仿宋_GB2312"/>
          <w:bCs/>
          <w:kern w:val="0"/>
          <w:sz w:val="32"/>
          <w:szCs w:val="32"/>
        </w:rPr>
        <w:t>一、</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在法定期限内依法处理申请人提交的举报事项行政行为程序合法、适用依据正确。</w:t>
      </w:r>
    </w:p>
    <w:p w14:paraId="7743A5E4">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（一）举报件基本情况</w:t>
      </w:r>
    </w:p>
    <w:p w14:paraId="0FA2A7F1">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于2024年7月19日收到申请人来信</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反映其在泉州市</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化妆品贸易有限公司开设的天猫店铺“</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旗舰店”购买的</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品牌的“</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繁星闪亮四色眼影05#裸妆大地色”，订单号395541</w:t>
      </w:r>
      <w:r>
        <w:rPr>
          <w:rFonts w:hint="eastAsia" w:ascii="仿宋_GB2312" w:hAnsi="仿宋_GB2312" w:eastAsia="仿宋_GB2312" w:cs="仿宋_GB2312"/>
          <w:bCs/>
          <w:kern w:val="0"/>
          <w:sz w:val="32"/>
          <w:szCs w:val="32"/>
          <w:lang w:val="en-US" w:eastAsia="zh-CN"/>
        </w:rPr>
        <w:t>*********</w:t>
      </w:r>
      <w:r>
        <w:rPr>
          <w:rFonts w:hint="eastAsia" w:ascii="仿宋_GB2312" w:hAnsi="仿宋_GB2312" w:eastAsia="仿宋_GB2312" w:cs="仿宋_GB2312"/>
          <w:bCs/>
          <w:kern w:val="0"/>
          <w:sz w:val="32"/>
          <w:szCs w:val="32"/>
        </w:rPr>
        <w:t>7634，存在生产企业不具备生产眼部类粉单元、当事人未履行化妆品进货查验等情况。</w:t>
      </w:r>
    </w:p>
    <w:p w14:paraId="057FC061">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经核查，被举报人泉州市</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化妆品贸易有限公司提供了</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品牌的“</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繁星闪亮四色眼影05#裸妆大地色”生产企业广州</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生物科技有限公司的营业执照、化妆品生产许可证、产品检验报告、进货查验记录及台账，化妆品备案信息。</w:t>
      </w:r>
    </w:p>
    <w:p w14:paraId="1658A466">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《化妆品监督管理条例》第三十八条</w:t>
      </w:r>
      <w:bookmarkStart w:id="0" w:name="tiao_38_kuan_1"/>
      <w:bookmarkEnd w:id="0"/>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“化妆品经营者应当建立并执行进货查验记录制度，查验供货者的市场主体登记证明、化妆品注册或者备案情况、产品出厂检验合格证明，如实记录并保存相关凭证。”从核查情况，泉州市</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化妆品贸易有限公司已经履行了进货查验义务。现有证据无法证明被举报对象存在申请人举报的相关违法行为，该举报线索不符合《市场监督管理行政处罚程序规定》第十九条规定的立案条件。2024年8月26日，</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对该举报线索作出不予立案决定，并依据《市场监督管理投诉举报处理暂行办法》第三十一条第二款的规定，2024年8月28日将不予立案告知申请人。</w:t>
      </w:r>
    </w:p>
    <w:p w14:paraId="4F94E80D">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综上</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在法定期限内依法处理申请人仲</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提交的举报事项行政行为程序合法、适用依据正确。</w:t>
      </w:r>
      <w:r>
        <w:rPr>
          <w:rFonts w:hint="eastAsia" w:ascii="仿宋_GB2312" w:hAnsi="仿宋_GB2312" w:eastAsia="仿宋_GB2312" w:cs="仿宋_GB2312"/>
          <w:bCs/>
          <w:kern w:val="0"/>
          <w:sz w:val="32"/>
          <w:szCs w:val="32"/>
        </w:rPr>
        <w:fldChar w:fldCharType="begin"/>
      </w:r>
      <w:r>
        <w:rPr>
          <w:rFonts w:hint="eastAsia" w:ascii="仿宋_GB2312" w:hAnsi="仿宋_GB2312" w:eastAsia="仿宋_GB2312" w:cs="仿宋_GB2312"/>
          <w:bCs/>
          <w:kern w:val="0"/>
          <w:sz w:val="32"/>
          <w:szCs w:val="32"/>
        </w:rPr>
        <w:instrText xml:space="preserve"> HYPERLINK "javascript:void(0);" </w:instrText>
      </w:r>
      <w:r>
        <w:rPr>
          <w:rFonts w:hint="eastAsia" w:ascii="仿宋_GB2312" w:hAnsi="仿宋_GB2312" w:eastAsia="仿宋_GB2312" w:cs="仿宋_GB2312"/>
          <w:bCs/>
          <w:kern w:val="0"/>
          <w:sz w:val="32"/>
          <w:szCs w:val="32"/>
        </w:rPr>
        <w:fldChar w:fldCharType="separate"/>
      </w:r>
      <w:r>
        <w:rPr>
          <w:rFonts w:hint="eastAsia" w:ascii="仿宋_GB2312" w:hAnsi="仿宋_GB2312" w:eastAsia="仿宋_GB2312" w:cs="仿宋_GB2312"/>
          <w:bCs/>
          <w:kern w:val="0"/>
          <w:sz w:val="32"/>
          <w:szCs w:val="32"/>
        </w:rPr>
        <w:fldChar w:fldCharType="end"/>
      </w:r>
    </w:p>
    <w:p w14:paraId="2085A7AC">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eastAsia="zh-CN"/>
        </w:rPr>
        <w:t>二、</w:t>
      </w:r>
      <w:r>
        <w:rPr>
          <w:rFonts w:hint="eastAsia" w:ascii="仿宋_GB2312" w:hAnsi="仿宋_GB2312" w:eastAsia="仿宋_GB2312" w:cs="仿宋_GB2312"/>
          <w:bCs/>
          <w:kern w:val="0"/>
          <w:sz w:val="32"/>
          <w:szCs w:val="32"/>
        </w:rPr>
        <w:t>申请人提出的复议请求没有依据</w:t>
      </w:r>
    </w:p>
    <w:p w14:paraId="5C147170">
      <w:pPr>
        <w:keepNext w:val="0"/>
        <w:keepLines w:val="0"/>
        <w:pageBreakBefore w:val="0"/>
        <w:overflowPunct/>
        <w:topLinePunct w:val="0"/>
        <w:bidi w:val="0"/>
        <w:adjustRightInd/>
        <w:spacing w:line="579" w:lineRule="exact"/>
        <w:ind w:firstLine="640" w:firstLineChars="200"/>
        <w:jc w:val="left"/>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申请人称“被申请人核查后未对检测报告编号进行认定，属于认定事实不清”的理由没有法律依据：</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告知申请人的内容为“被举报方提供被举报产品相关供货商信息、采购信息、备案信息及检测报告”即当事人有履行进货查验义务，无需再对检测报告编号信息另行赘述。</w:t>
      </w:r>
    </w:p>
    <w:p w14:paraId="63117F77">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申请人认为：被举报方未建立并执行查验记录制度、产品销售记录制度，从核查情况，被举报方已经履行了进货查验义务，相关手续完整。</w:t>
      </w:r>
    </w:p>
    <w:p w14:paraId="452514CB">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申请人认为：依据《化妆品生产经营监督管理办法》第十六条第二款具备儿童护肤类、眼部护肤类化妆品生产条件的，应当在生产许可项目中特别标注。申请人查询发现涉案产品</w:t>
      </w:r>
      <w:r>
        <w:rPr>
          <w:rFonts w:hint="eastAsia" w:ascii="仿宋_GB2312" w:hAnsi="仿宋_GB2312" w:eastAsia="仿宋_GB2312" w:cs="仿宋_GB2312"/>
          <w:bCs/>
          <w:kern w:val="0"/>
          <w:sz w:val="32"/>
          <w:szCs w:val="32"/>
          <w:lang w:eastAsia="zh-CN"/>
        </w:rPr>
        <w:t>生产厂家</w:t>
      </w:r>
      <w:r>
        <w:rPr>
          <w:rFonts w:hint="eastAsia" w:ascii="仿宋_GB2312" w:hAnsi="仿宋_GB2312" w:eastAsia="仿宋_GB2312" w:cs="仿宋_GB2312"/>
          <w:bCs/>
          <w:kern w:val="0"/>
          <w:sz w:val="32"/>
          <w:szCs w:val="32"/>
        </w:rPr>
        <w:t>的许可范围并未标注眼部许可，未取得生产眼部化妆品资质。</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认为：被举报对象作为经营者已经履行了化妆品进货查验制度。对于生产企业是否超范围生产，依据《市场监督管理投诉举报处理暂行办法</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2022第二次修正</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》第二十九条</w:t>
      </w:r>
      <w:bookmarkStart w:id="1" w:name="tiao_29_kuan_1"/>
      <w:bookmarkEnd w:id="1"/>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“收到举报的市场监督管理部门不具备处理权限的，应当告知举报人直接向有处理权限的市场监督管理部门提出。”</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在2024年8月28日的短信，已经明确告知申请人向生产厂家所在地的省局药品监督管理部门举报。</w:t>
      </w:r>
    </w:p>
    <w:p w14:paraId="0C6C2AAD">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申请人认为：行政机关作出行政行为必须有明确的法律依据，并要告知被申请人，侵犯申请人知情权。依据《市场监督管理投诉举报处理暂行办法》我局已经在法定时限内告知被申请人履行了告知义务。</w:t>
      </w:r>
    </w:p>
    <w:p w14:paraId="78D82DEA">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申请人认为：被诉行政答复未告知诉权。《市场监管总局关于印发</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市场监督管理部门处理投诉举报文书式样</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的通知》（国市监网监〔2019〕242号）和12315举报答复模块，目前均未对该项内容进行强调，这项为申请人的法定权利，未告知并不影响申请人行使该项权利。</w:t>
      </w:r>
    </w:p>
    <w:p w14:paraId="34F4E4CE">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eastAsia="zh-CN"/>
        </w:rPr>
        <w:t>三、</w:t>
      </w:r>
      <w:r>
        <w:rPr>
          <w:rFonts w:hint="eastAsia" w:ascii="仿宋_GB2312" w:hAnsi="仿宋_GB2312" w:eastAsia="仿宋_GB2312" w:cs="仿宋_GB2312"/>
          <w:bCs/>
          <w:kern w:val="0"/>
          <w:sz w:val="32"/>
          <w:szCs w:val="32"/>
        </w:rPr>
        <w:t>申请人无提起行政复议主体资格</w:t>
      </w:r>
    </w:p>
    <w:p w14:paraId="76A66D85">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根据《行政复议法》第二条：“公民、法人或者其他组织认为行政机关的行政行为侵犯其合法权益，向行政复议机关提出行政复议申请”，申请人对举报事项的处理结果提起行政复议需符合申请人的合法权益被侵犯的条件。从申请人举报的综合情况来看，申请人与基于消费的普通消费者不同，经查询全国12315平台，与申请人相关的投诉313次，举报299件。作为一个正常的消费者，其购买行为不符合常理，显而易见其购买被举报产品不是出于正常的消费需要。根据泉州市市场监督管理局关于印发《泉州市市场监督管理局规范处置恶意投诉举报行为规定》的通知（泉市监规〔2023〕9号），申请人的行为符合通知中对恶意举报的认定“（一）购买、使用商品的数量或者接受服务的次数明显超出合理生活消费需要的；（四）一次发起多件投诉举报或对同一事由反复多次投诉举报；（八）投诉举报的数量、信访数量、政府信息公开数量、相关行政复议和诉讼的数量有明显异常的”。申请人的举报内容不属于合法权益遭受侵犯。</w:t>
      </w:r>
    </w:p>
    <w:p w14:paraId="72F20480">
      <w:pPr>
        <w:keepNext w:val="0"/>
        <w:keepLines w:val="0"/>
        <w:pageBreakBefore w:val="0"/>
        <w:overflowPunct/>
        <w:topLinePunct w:val="0"/>
        <w:bidi w:val="0"/>
        <w:adjustRightInd/>
        <w:spacing w:line="579" w:lineRule="exact"/>
        <w:ind w:firstLine="640" w:firstLineChars="200"/>
        <w:jc w:val="both"/>
        <w:textAlignment w:val="auto"/>
        <w:rPr>
          <w:rFonts w:ascii="仿宋_GB2312" w:hAnsi="仿宋_GB2312" w:eastAsia="仿宋_GB2312" w:cs="Times New Roman"/>
          <w:b w:val="0"/>
          <w:bCs w:val="0"/>
          <w:color w:val="auto"/>
          <w:kern w:val="2"/>
          <w:sz w:val="32"/>
          <w:szCs w:val="32"/>
        </w:rPr>
      </w:pPr>
      <w:r>
        <w:rPr>
          <w:rFonts w:hint="eastAsia" w:ascii="仿宋_GB2312" w:hAnsi="仿宋_GB2312" w:eastAsia="仿宋_GB2312" w:cs="仿宋_GB2312"/>
          <w:bCs/>
          <w:kern w:val="0"/>
          <w:sz w:val="32"/>
          <w:szCs w:val="32"/>
        </w:rPr>
        <w:t>综上，</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在法定期限内依法处理申请人提交的举报事项行政行为程序合法、适用依据正确，根据《行政复议法》第六十九条的规定，恳请复议机关依法驳回申请人的行政复议申请。</w:t>
      </w:r>
    </w:p>
    <w:p w14:paraId="661C5BF3">
      <w:pPr>
        <w:keepNext w:val="0"/>
        <w:keepLines w:val="0"/>
        <w:pageBreakBefore w:val="0"/>
        <w:overflowPunct/>
        <w:topLinePunct w:val="0"/>
        <w:bidi w:val="0"/>
        <w:adjustRightInd/>
        <w:spacing w:line="579" w:lineRule="exact"/>
        <w:ind w:firstLine="643"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kern w:val="0"/>
          <w:sz w:val="32"/>
          <w:szCs w:val="32"/>
        </w:rPr>
        <w:t>经审理查明：</w:t>
      </w:r>
      <w:r>
        <w:rPr>
          <w:rFonts w:hint="eastAsia" w:ascii="仿宋_GB2312" w:hAnsi="仿宋_GB2312" w:eastAsia="仿宋_GB2312" w:cs="仿宋_GB2312"/>
          <w:bCs/>
          <w:kern w:val="0"/>
          <w:sz w:val="32"/>
          <w:szCs w:val="32"/>
        </w:rPr>
        <w:t>2024年7月19日</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收到申请人来信</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反映其在泉州市</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化妆品贸易有限公司开设的天猫店铺“</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旗舰店”购买的</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品牌的“</w:t>
      </w:r>
      <w:r>
        <w:rPr>
          <w:rFonts w:hint="eastAsia" w:ascii="仿宋_GB2312" w:hAnsi="仿宋_GB2312" w:eastAsia="仿宋_GB2312" w:cs="仿宋_GB2312"/>
          <w:bCs/>
          <w:kern w:val="0"/>
          <w:sz w:val="32"/>
          <w:szCs w:val="32"/>
          <w:lang w:eastAsia="zh-CN"/>
        </w:rPr>
        <w:t>某某</w:t>
      </w:r>
      <w:r>
        <w:rPr>
          <w:rFonts w:hint="eastAsia" w:ascii="仿宋_GB2312" w:hAnsi="仿宋_GB2312" w:eastAsia="仿宋_GB2312" w:cs="仿宋_GB2312"/>
          <w:bCs/>
          <w:kern w:val="0"/>
          <w:sz w:val="32"/>
          <w:szCs w:val="32"/>
        </w:rPr>
        <w:t>繁星闪亮四色眼影05#裸妆大地色”，订单号</w:t>
      </w:r>
      <w:r>
        <w:rPr>
          <w:rFonts w:hint="eastAsia" w:ascii="仿宋_GB2312" w:hAnsi="仿宋_GB2312" w:eastAsia="仿宋_GB2312" w:cs="仿宋_GB2312"/>
          <w:bCs/>
          <w:kern w:val="0"/>
          <w:sz w:val="32"/>
          <w:szCs w:val="32"/>
          <w:lang w:eastAsia="zh-CN"/>
        </w:rPr>
        <w:t>395541*********7634</w:t>
      </w:r>
      <w:r>
        <w:rPr>
          <w:rFonts w:hint="eastAsia" w:ascii="仿宋_GB2312" w:hAnsi="仿宋_GB2312" w:eastAsia="仿宋_GB2312" w:cs="仿宋_GB2312"/>
          <w:bCs/>
          <w:kern w:val="0"/>
          <w:sz w:val="32"/>
          <w:szCs w:val="32"/>
        </w:rPr>
        <w:t>，存在生产企业不具备生产眼部类粉单元、当事人未履行化妆品进货查验等情况。</w:t>
      </w:r>
    </w:p>
    <w:p w14:paraId="7A9B3595">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eastAsia="zh-CN"/>
        </w:rPr>
        <w:t>同日，被申请人对该举报线索予以案件来源登记。调查期间，</w:t>
      </w:r>
      <w:r>
        <w:rPr>
          <w:rFonts w:hint="eastAsia" w:ascii="仿宋_GB2312" w:hAnsi="仿宋_GB2312" w:eastAsia="仿宋_GB2312" w:cs="仿宋_GB2312"/>
          <w:b w:val="0"/>
          <w:bCs w:val="0"/>
          <w:kern w:val="0"/>
          <w:sz w:val="32"/>
          <w:szCs w:val="32"/>
          <w:lang w:eastAsia="zh-CN"/>
        </w:rPr>
        <w:t>被申请人向申请人提取了供货商</w:t>
      </w:r>
      <w:r>
        <w:rPr>
          <w:rFonts w:hint="eastAsia" w:ascii="仿宋_GB2312" w:hAnsi="仿宋_GB2312" w:eastAsia="仿宋_GB2312" w:cs="仿宋_GB2312"/>
          <w:bCs/>
          <w:kern w:val="0"/>
          <w:sz w:val="32"/>
          <w:szCs w:val="32"/>
        </w:rPr>
        <w:t>营业执照、化妆品生产许可证、产品检验报告、进货查验记录及台账</w:t>
      </w:r>
      <w:r>
        <w:rPr>
          <w:rFonts w:hint="eastAsia" w:ascii="仿宋_GB2312" w:hAnsi="仿宋_GB2312" w:eastAsia="仿宋_GB2312" w:cs="仿宋_GB2312"/>
          <w:b w:val="0"/>
          <w:bCs w:val="0"/>
          <w:kern w:val="0"/>
          <w:sz w:val="32"/>
          <w:szCs w:val="32"/>
          <w:lang w:eastAsia="zh-CN"/>
        </w:rPr>
        <w:t>等证据。</w:t>
      </w:r>
      <w:r>
        <w:rPr>
          <w:rFonts w:hint="eastAsia" w:ascii="仿宋_GB2312" w:hAnsi="仿宋_GB2312" w:eastAsia="仿宋_GB2312" w:cs="仿宋_GB2312"/>
          <w:b w:val="0"/>
          <w:bCs w:val="0"/>
          <w:kern w:val="0"/>
          <w:sz w:val="32"/>
          <w:szCs w:val="32"/>
          <w:lang w:val="en-US" w:eastAsia="zh-CN"/>
        </w:rPr>
        <w:t>2024年8月13日</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lang w:eastAsia="zh-CN"/>
        </w:rPr>
        <w:t>被申请人通过国家药品监督管理局官网查询了案涉化妆品的产品</w:t>
      </w:r>
      <w:r>
        <w:rPr>
          <w:rFonts w:hint="eastAsia" w:ascii="仿宋_GB2312" w:hAnsi="仿宋_GB2312" w:eastAsia="仿宋_GB2312" w:cs="仿宋_GB2312"/>
          <w:bCs/>
          <w:kern w:val="0"/>
          <w:sz w:val="32"/>
          <w:szCs w:val="32"/>
        </w:rPr>
        <w:t>备案信息</w:t>
      </w:r>
      <w:r>
        <w:rPr>
          <w:rFonts w:hint="eastAsia" w:ascii="仿宋_GB2312" w:hAnsi="仿宋_GB2312" w:eastAsia="仿宋_GB2312" w:cs="仿宋_GB2312"/>
          <w:bCs/>
          <w:kern w:val="0"/>
          <w:sz w:val="32"/>
          <w:szCs w:val="32"/>
          <w:lang w:eastAsia="zh-CN"/>
        </w:rPr>
        <w:t>。</w:t>
      </w:r>
    </w:p>
    <w:p w14:paraId="487E051A">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2024年8月26日，</w:t>
      </w:r>
      <w:r>
        <w:rPr>
          <w:rFonts w:hint="eastAsia" w:ascii="仿宋_GB2312" w:hAnsi="仿宋_GB2312" w:eastAsia="仿宋_GB2312" w:cs="仿宋_GB2312"/>
          <w:bCs/>
          <w:kern w:val="0"/>
          <w:sz w:val="32"/>
          <w:szCs w:val="32"/>
          <w:lang w:eastAsia="zh-CN"/>
        </w:rPr>
        <w:t>被申请人</w:t>
      </w:r>
      <w:r>
        <w:rPr>
          <w:rFonts w:hint="eastAsia" w:ascii="仿宋_GB2312" w:hAnsi="仿宋_GB2312" w:eastAsia="仿宋_GB2312" w:cs="仿宋_GB2312"/>
          <w:bCs/>
          <w:kern w:val="0"/>
          <w:sz w:val="32"/>
          <w:szCs w:val="32"/>
        </w:rPr>
        <w:t>对该举报线索作出不予立案决定</w:t>
      </w:r>
      <w:r>
        <w:rPr>
          <w:rFonts w:hint="eastAsia" w:ascii="仿宋_GB2312" w:hAnsi="仿宋_GB2312" w:eastAsia="仿宋_GB2312" w:cs="仿宋_GB2312"/>
          <w:bCs/>
          <w:kern w:val="0"/>
          <w:sz w:val="32"/>
          <w:szCs w:val="32"/>
          <w:lang w:eastAsia="zh-CN"/>
        </w:rPr>
        <w:t>。</w:t>
      </w:r>
    </w:p>
    <w:p w14:paraId="64ECE559">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2024年8月28日</w:t>
      </w:r>
      <w:r>
        <w:rPr>
          <w:rFonts w:hint="eastAsia" w:ascii="仿宋_GB2312" w:hAnsi="仿宋_GB2312" w:eastAsia="仿宋_GB2312" w:cs="仿宋_GB2312"/>
          <w:bCs/>
          <w:kern w:val="0"/>
          <w:sz w:val="32"/>
          <w:szCs w:val="32"/>
          <w:lang w:eastAsia="zh-CN"/>
        </w:rPr>
        <w:t>，被申请人向申请人在投诉举报信载明的手机号码发送短信</w:t>
      </w:r>
      <w:r>
        <w:rPr>
          <w:rFonts w:hint="eastAsia" w:ascii="仿宋_GB2312" w:hAnsi="仿宋_GB2312" w:eastAsia="仿宋_GB2312" w:cs="仿宋_GB2312"/>
          <w:bCs/>
          <w:kern w:val="0"/>
          <w:sz w:val="32"/>
          <w:szCs w:val="32"/>
        </w:rPr>
        <w:t>将不予立案</w:t>
      </w:r>
      <w:r>
        <w:rPr>
          <w:rFonts w:hint="eastAsia" w:ascii="仿宋_GB2312" w:hAnsi="仿宋_GB2312" w:eastAsia="仿宋_GB2312" w:cs="仿宋_GB2312"/>
          <w:bCs/>
          <w:kern w:val="0"/>
          <w:sz w:val="32"/>
          <w:szCs w:val="32"/>
          <w:lang w:eastAsia="zh-CN"/>
        </w:rPr>
        <w:t>的决定</w:t>
      </w:r>
      <w:r>
        <w:rPr>
          <w:rFonts w:hint="eastAsia" w:ascii="仿宋_GB2312" w:hAnsi="仿宋_GB2312" w:eastAsia="仿宋_GB2312" w:cs="仿宋_GB2312"/>
          <w:bCs/>
          <w:kern w:val="0"/>
          <w:sz w:val="32"/>
          <w:szCs w:val="32"/>
        </w:rPr>
        <w:t>告知申请人。</w:t>
      </w:r>
    </w:p>
    <w:p w14:paraId="5CF53E73">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eastAsia="zh-CN"/>
        </w:rPr>
        <w:t>申请人不服被申请人的该不予立案决定，遂提起行政复议申请。</w:t>
      </w:r>
    </w:p>
    <w:p w14:paraId="2FFFF496">
      <w:pPr>
        <w:keepNext w:val="0"/>
        <w:keepLines w:val="0"/>
        <w:pageBreakBefore w:val="0"/>
        <w:overflowPunct/>
        <w:topLinePunct w:val="0"/>
        <w:bidi w:val="0"/>
        <w:adjustRightInd/>
        <w:spacing w:line="579" w:lineRule="exact"/>
        <w:ind w:firstLine="643" w:firstLineChars="200"/>
        <w:jc w:val="both"/>
        <w:textAlignment w:val="auto"/>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kern w:val="0"/>
          <w:sz w:val="32"/>
          <w:szCs w:val="32"/>
        </w:rPr>
        <w:t>上述事实有下列证据证明：</w:t>
      </w:r>
      <w:r>
        <w:rPr>
          <w:rFonts w:hint="eastAsia" w:ascii="仿宋_GB2312" w:hAnsi="仿宋_GB2312" w:eastAsia="仿宋_GB2312" w:cs="仿宋_GB2312"/>
          <w:b w:val="0"/>
          <w:bCs/>
          <w:kern w:val="0"/>
          <w:sz w:val="32"/>
          <w:szCs w:val="32"/>
        </w:rPr>
        <w:t>举报材料</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案件来源登记表、</w:t>
      </w:r>
    </w:p>
    <w:p w14:paraId="4181D28C">
      <w:pPr>
        <w:keepNext w:val="0"/>
        <w:keepLines w:val="0"/>
        <w:pageBreakBefore w:val="0"/>
        <w:overflowPunct/>
        <w:topLinePunct w:val="0"/>
        <w:bidi w:val="0"/>
        <w:adjustRightInd/>
        <w:spacing w:line="579" w:lineRule="exact"/>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rPr>
        <w:t>不予立案审批表</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被举报对象经营资质材料</w:t>
      </w:r>
      <w:r>
        <w:rPr>
          <w:rFonts w:hint="eastAsia" w:ascii="仿宋_GB2312" w:hAnsi="仿宋_GB2312" w:eastAsia="仿宋_GB2312" w:cs="仿宋_GB2312"/>
          <w:b w:val="0"/>
          <w:bCs/>
          <w:kern w:val="0"/>
          <w:sz w:val="32"/>
          <w:szCs w:val="32"/>
          <w:lang w:eastAsia="zh-CN"/>
        </w:rPr>
        <w:t>及</w:t>
      </w:r>
      <w:r>
        <w:rPr>
          <w:rFonts w:hint="eastAsia" w:ascii="仿宋_GB2312" w:hAnsi="仿宋_GB2312" w:eastAsia="仿宋_GB2312" w:cs="仿宋_GB2312"/>
          <w:b w:val="0"/>
          <w:bCs/>
          <w:kern w:val="0"/>
          <w:sz w:val="32"/>
          <w:szCs w:val="32"/>
        </w:rPr>
        <w:t>相关身份证明材料</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生产商营业执照、化妆品生产许可证、化妆品备案信息、产品检验合格证明、化妆品进货查验记录制度及台账</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通过国家药品监督管理局查询涉案产品备案信息</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全国12315平台申请人投诉举报情况截图</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短信信息</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全国12315平台申请人投诉举报情况截图等。</w:t>
      </w:r>
    </w:p>
    <w:p w14:paraId="48B9C9CD">
      <w:pPr>
        <w:keepNext w:val="0"/>
        <w:keepLines w:val="0"/>
        <w:pageBreakBefore w:val="0"/>
        <w:overflowPunct/>
        <w:topLinePunct w:val="0"/>
        <w:bidi w:val="0"/>
        <w:adjustRightInd/>
        <w:spacing w:line="579" w:lineRule="exact"/>
        <w:ind w:firstLine="643" w:firstLineChars="200"/>
        <w:jc w:val="both"/>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
          <w:kern w:val="0"/>
          <w:sz w:val="32"/>
          <w:szCs w:val="32"/>
        </w:rPr>
        <w:t>本机关认为：</w:t>
      </w:r>
      <w:r>
        <w:rPr>
          <w:rFonts w:hint="eastAsia" w:ascii="仿宋_GB2312" w:hAnsi="仿宋_GB2312" w:eastAsia="仿宋_GB2312" w:cs="仿宋_GB2312"/>
          <w:bCs/>
          <w:kern w:val="0"/>
          <w:sz w:val="32"/>
          <w:szCs w:val="32"/>
        </w:rPr>
        <w:t>一、职权方面。《市场监督管理投诉举报处理暂行办法》第四条第二款规定：“县级以上地方市场监督管理部门负责本行政区域内的投诉举报处理工作。”被申请人作为泉州市丰泽区的市场监督管理部门，具有对申请人举报事项作出处理的法定职权。</w:t>
      </w:r>
    </w:p>
    <w:p w14:paraId="7E38C744">
      <w:pPr>
        <w:keepNext w:val="0"/>
        <w:keepLines w:val="0"/>
        <w:pageBreakBefore w:val="0"/>
        <w:overflowPunct/>
        <w:topLinePunct w:val="0"/>
        <w:bidi w:val="0"/>
        <w:adjustRightInd/>
        <w:snapToGrid w:val="0"/>
        <w:spacing w:line="579" w:lineRule="exact"/>
        <w:ind w:firstLine="640" w:firstLineChars="200"/>
        <w:jc w:val="both"/>
        <w:textAlignment w:val="auto"/>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二、程序方面。被申请人依据《市场监督管理行政处罚程序规定》第十八条第一款</w:t>
      </w:r>
      <w:r>
        <w:rPr>
          <w:rFonts w:hint="eastAsia" w:ascii="仿宋_GB2312" w:hAnsi="仿宋_GB2312" w:eastAsia="仿宋_GB2312" w:cs="仿宋_GB2312"/>
          <w:bCs/>
          <w:kern w:val="0"/>
          <w:sz w:val="32"/>
          <w:szCs w:val="32"/>
          <w:lang w:eastAsia="zh-CN"/>
        </w:rPr>
        <w:t>以及</w:t>
      </w:r>
      <w:r>
        <w:rPr>
          <w:rFonts w:hint="eastAsia" w:ascii="仿宋_GB2312" w:hAnsi="仿宋_GB2312" w:eastAsia="仿宋_GB2312" w:cs="仿宋_GB2312"/>
          <w:bCs/>
          <w:kern w:val="0"/>
          <w:sz w:val="32"/>
          <w:szCs w:val="32"/>
        </w:rPr>
        <w:t>《市场监督管理投诉举报处理暂行办法》第三十一条的规定，在法定时限内作出不予立案决定并</w:t>
      </w:r>
      <w:r>
        <w:rPr>
          <w:rFonts w:hint="eastAsia" w:ascii="仿宋_GB2312" w:hAnsi="仿宋_GB2312" w:eastAsia="仿宋_GB2312" w:cs="仿宋_GB2312"/>
          <w:bCs/>
          <w:sz w:val="32"/>
          <w:szCs w:val="32"/>
        </w:rPr>
        <w:t>告知申请人，程序合法。</w:t>
      </w:r>
    </w:p>
    <w:p w14:paraId="4BA10AC1">
      <w:pPr>
        <w:keepNext w:val="0"/>
        <w:keepLines w:val="0"/>
        <w:pageBreakBefore w:val="0"/>
        <w:overflowPunct/>
        <w:topLinePunct w:val="0"/>
        <w:bidi w:val="0"/>
        <w:adjustRightInd/>
        <w:spacing w:line="579" w:lineRule="exact"/>
        <w:ind w:firstLine="640" w:firstLineChars="200"/>
        <w:jc w:val="both"/>
        <w:textAlignment w:val="auto"/>
        <w:rPr>
          <w:rFonts w:hint="eastAsia" w:ascii="仿宋_GB2312" w:hAnsi="仿宋_GB2312" w:eastAsia="仿宋_GB2312" w:cs="仿宋_GB2312"/>
          <w:color w:val="auto"/>
          <w:spacing w:val="0"/>
          <w:kern w:val="2"/>
          <w:sz w:val="32"/>
          <w:szCs w:val="32"/>
          <w:lang w:val="en-US" w:eastAsia="zh-CN"/>
        </w:rPr>
      </w:pPr>
      <w:r>
        <w:rPr>
          <w:rFonts w:hint="eastAsia" w:ascii="仿宋_GB2312" w:hAnsi="仿宋_GB2312" w:eastAsia="仿宋_GB2312" w:cs="仿宋_GB2312"/>
          <w:bCs/>
          <w:kern w:val="0"/>
          <w:sz w:val="32"/>
          <w:szCs w:val="32"/>
        </w:rPr>
        <w:t>三、事实认定与适用依据方面。</w:t>
      </w:r>
      <w:r>
        <w:rPr>
          <w:rFonts w:hint="eastAsia" w:ascii="仿宋_GB2312" w:hAnsi="仿宋_GB2312" w:eastAsia="仿宋_GB2312" w:cs="仿宋_GB2312"/>
          <w:bCs/>
          <w:kern w:val="0"/>
          <w:sz w:val="32"/>
          <w:szCs w:val="32"/>
          <w:lang w:eastAsia="zh-CN"/>
        </w:rPr>
        <w:t>《化妆品监督管理条例》第三十八条第一款规定：“化妆品经营者应当建立并执行进货查验记录制度，查验供货者的市场主体登记证明、化妆品注册或者备案情况、产品出厂检验合格证明，如实记录并保存相关凭证。记录和凭证保存期限应当符合本条例第三十一条第一款的规定。”本案中，被申请人提取的</w:t>
      </w:r>
      <w:r>
        <w:rPr>
          <w:rFonts w:hint="eastAsia" w:ascii="仿宋_GB2312" w:hAnsi="仿宋_GB2312" w:eastAsia="仿宋_GB2312" w:cs="仿宋_GB2312"/>
          <w:b w:val="0"/>
          <w:bCs w:val="0"/>
          <w:kern w:val="0"/>
          <w:sz w:val="32"/>
          <w:szCs w:val="32"/>
          <w:lang w:eastAsia="zh-CN"/>
        </w:rPr>
        <w:t>供货商</w:t>
      </w:r>
      <w:r>
        <w:rPr>
          <w:rFonts w:hint="eastAsia" w:ascii="仿宋_GB2312" w:hAnsi="仿宋_GB2312" w:eastAsia="仿宋_GB2312" w:cs="仿宋_GB2312"/>
          <w:bCs/>
          <w:kern w:val="0"/>
          <w:sz w:val="32"/>
          <w:szCs w:val="32"/>
        </w:rPr>
        <w:t>营业执照、化妆品生产许可证、产品检验报告、进货查验记录及台账</w:t>
      </w:r>
      <w:r>
        <w:rPr>
          <w:rFonts w:hint="eastAsia" w:ascii="仿宋_GB2312" w:hAnsi="仿宋_GB2312" w:eastAsia="仿宋_GB2312" w:cs="仿宋_GB2312"/>
          <w:bCs/>
          <w:kern w:val="0"/>
          <w:sz w:val="32"/>
          <w:szCs w:val="32"/>
          <w:lang w:eastAsia="zh-CN"/>
        </w:rPr>
        <w:t>、化妆品备案信息</w:t>
      </w:r>
      <w:r>
        <w:rPr>
          <w:rFonts w:hint="eastAsia" w:ascii="仿宋_GB2312" w:hAnsi="仿宋_GB2312" w:eastAsia="仿宋_GB2312" w:cs="仿宋_GB2312"/>
          <w:b w:val="0"/>
          <w:bCs/>
          <w:kern w:val="0"/>
          <w:sz w:val="32"/>
          <w:szCs w:val="32"/>
          <w:lang w:eastAsia="zh-CN"/>
        </w:rPr>
        <w:t>等证据足以证明被举报对象已经履行了前款规定的进货查验义务。被申请人以现有证据无法证明</w:t>
      </w:r>
      <w:r>
        <w:rPr>
          <w:rFonts w:hint="eastAsia" w:ascii="仿宋_GB2312" w:hAnsi="仿宋_GB2312" w:eastAsia="仿宋_GB2312" w:cs="仿宋_GB2312"/>
          <w:b w:val="0"/>
          <w:bCs w:val="0"/>
          <w:kern w:val="0"/>
          <w:sz w:val="32"/>
          <w:szCs w:val="32"/>
        </w:rPr>
        <w:t>被举报对象存在违法行为</w:t>
      </w:r>
      <w:r>
        <w:rPr>
          <w:rFonts w:hint="eastAsia" w:ascii="仿宋_GB2312" w:hAnsi="仿宋_GB2312" w:eastAsia="仿宋_GB2312" w:cs="仿宋_GB2312"/>
          <w:b w:val="0"/>
          <w:bCs w:val="0"/>
          <w:kern w:val="0"/>
          <w:sz w:val="32"/>
          <w:szCs w:val="32"/>
          <w:lang w:eastAsia="zh-CN"/>
        </w:rPr>
        <w:t>，认定</w:t>
      </w:r>
      <w:r>
        <w:rPr>
          <w:rFonts w:hint="eastAsia" w:ascii="仿宋_GB2312" w:hAnsi="仿宋_GB2312" w:eastAsia="仿宋_GB2312" w:cs="仿宋_GB2312"/>
          <w:color w:val="auto"/>
          <w:spacing w:val="0"/>
          <w:kern w:val="2"/>
          <w:sz w:val="32"/>
          <w:szCs w:val="32"/>
          <w:lang w:val="en-US" w:eastAsia="zh-CN"/>
        </w:rPr>
        <w:t>案涉举报线索不符合《市场监督管理行政处罚程序规定》第十九条规定的立案条件，遂作出不予立案决定，并无不妥。</w:t>
      </w:r>
    </w:p>
    <w:p w14:paraId="6A9EC7C9">
      <w:pPr>
        <w:keepNext w:val="0"/>
        <w:keepLines w:val="0"/>
        <w:pageBreakBefore w:val="0"/>
        <w:overflowPunct/>
        <w:topLinePunct w:val="0"/>
        <w:bidi w:val="0"/>
        <w:adjustRightInd/>
        <w:spacing w:line="579" w:lineRule="exact"/>
        <w:ind w:firstLine="640" w:firstLineChars="200"/>
        <w:jc w:val="both"/>
        <w:textAlignment w:val="auto"/>
        <w:rPr>
          <w:rFonts w:hint="default" w:ascii="仿宋_GB2312" w:hAnsi="仿宋_GB2312" w:eastAsia="仿宋_GB2312" w:cs="仿宋_GB2312"/>
          <w:color w:val="auto"/>
          <w:spacing w:val="0"/>
          <w:kern w:val="2"/>
          <w:sz w:val="32"/>
          <w:szCs w:val="32"/>
          <w:lang w:val="en-US" w:eastAsia="zh-CN"/>
        </w:rPr>
      </w:pPr>
      <w:r>
        <w:rPr>
          <w:rFonts w:hint="eastAsia" w:ascii="仿宋_GB2312" w:hAnsi="仿宋_GB2312" w:eastAsia="仿宋_GB2312" w:cs="仿宋_GB2312"/>
          <w:color w:val="auto"/>
          <w:spacing w:val="0"/>
          <w:kern w:val="2"/>
          <w:sz w:val="32"/>
          <w:szCs w:val="32"/>
          <w:lang w:val="en-US" w:eastAsia="zh-CN"/>
        </w:rPr>
        <w:t>另，</w:t>
      </w:r>
      <w:r>
        <w:rPr>
          <w:rFonts w:hint="eastAsia" w:ascii="仿宋_GB2312" w:hAnsi="仿宋_GB2312" w:eastAsia="仿宋_GB2312" w:cs="仿宋_GB2312"/>
          <w:bCs/>
          <w:kern w:val="0"/>
          <w:sz w:val="32"/>
          <w:szCs w:val="32"/>
          <w:lang w:eastAsia="zh-CN"/>
        </w:rPr>
        <w:t>被申请人提取的</w:t>
      </w:r>
      <w:r>
        <w:rPr>
          <w:rFonts w:hint="eastAsia" w:ascii="仿宋_GB2312" w:hAnsi="仿宋_GB2312" w:eastAsia="仿宋_GB2312" w:cs="仿宋_GB2312"/>
          <w:b w:val="0"/>
          <w:bCs w:val="0"/>
          <w:kern w:val="0"/>
          <w:sz w:val="32"/>
          <w:szCs w:val="32"/>
          <w:lang w:eastAsia="zh-CN"/>
        </w:rPr>
        <w:t>供货商</w:t>
      </w:r>
      <w:r>
        <w:rPr>
          <w:rFonts w:hint="eastAsia" w:ascii="仿宋_GB2312" w:hAnsi="仿宋_GB2312" w:eastAsia="仿宋_GB2312" w:cs="仿宋_GB2312"/>
          <w:bCs/>
          <w:kern w:val="0"/>
          <w:sz w:val="32"/>
          <w:szCs w:val="32"/>
        </w:rPr>
        <w:t>营业执照、化妆品生产许可证、产品检验报告、进货查验记录及台账</w:t>
      </w:r>
      <w:r>
        <w:rPr>
          <w:rFonts w:hint="eastAsia" w:ascii="仿宋_GB2312" w:hAnsi="仿宋_GB2312" w:eastAsia="仿宋_GB2312" w:cs="仿宋_GB2312"/>
          <w:bCs/>
          <w:kern w:val="0"/>
          <w:sz w:val="32"/>
          <w:szCs w:val="32"/>
          <w:lang w:eastAsia="zh-CN"/>
        </w:rPr>
        <w:t>，虽有被举报人盖章确认，但被申请人未载明证据的提取时间、提取证据的执法人员姓名等情况，存在程序瑕疵，本机关依法予以指正。</w:t>
      </w:r>
      <w:bookmarkStart w:id="2" w:name="_GoBack"/>
      <w:bookmarkEnd w:id="2"/>
    </w:p>
    <w:p w14:paraId="3AE3F046">
      <w:pPr>
        <w:keepNext w:val="0"/>
        <w:keepLines w:val="0"/>
        <w:pageBreakBefore w:val="0"/>
        <w:overflowPunct/>
        <w:topLinePunct w:val="0"/>
        <w:bidi w:val="0"/>
        <w:adjustRightInd/>
        <w:spacing w:line="579" w:lineRule="exact"/>
        <w:ind w:firstLine="640"/>
        <w:jc w:val="both"/>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综上，被申请人就申请人举报事项作出的不予立案决定事实清楚，证据确凿，适用依据正确，程序合法，内容适当。</w:t>
      </w:r>
    </w:p>
    <w:p w14:paraId="0116E645">
      <w:pPr>
        <w:keepNext w:val="0"/>
        <w:keepLines w:val="0"/>
        <w:pageBreakBefore w:val="0"/>
        <w:overflowPunct/>
        <w:topLinePunct w:val="0"/>
        <w:bidi w:val="0"/>
        <w:adjustRightInd/>
        <w:spacing w:line="579" w:lineRule="exact"/>
        <w:ind w:firstLine="640"/>
        <w:jc w:val="both"/>
        <w:textAlignment w:val="auto"/>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根据《中华人民共和国行</w:t>
      </w:r>
      <w:r>
        <w:rPr>
          <w:rFonts w:hint="eastAsia" w:ascii="仿宋_GB2312" w:hAnsi="仿宋_GB2312" w:eastAsia="仿宋_GB2312" w:cs="仿宋_GB2312"/>
          <w:sz w:val="32"/>
          <w:szCs w:val="32"/>
        </w:rPr>
        <w:t>政复议法》第六十八条之规定，本机关决定如下：</w:t>
      </w:r>
    </w:p>
    <w:p w14:paraId="3A43E3E5">
      <w:pPr>
        <w:pStyle w:val="6"/>
        <w:keepNext w:val="0"/>
        <w:keepLines w:val="0"/>
        <w:pageBreakBefore w:val="0"/>
        <w:widowControl/>
        <w:shd w:val="clear" w:color="auto" w:fill="FFFFFF"/>
        <w:overflowPunct/>
        <w:topLinePunct w:val="0"/>
        <w:bidi w:val="0"/>
        <w:adjustRightInd/>
        <w:spacing w:beforeAutospacing="0" w:afterAutospacing="0" w:line="579" w:lineRule="exact"/>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维持被申请人泉州市丰泽区市场监督管理局就申请人</w:t>
      </w:r>
      <w:r>
        <w:rPr>
          <w:rFonts w:hint="eastAsia" w:ascii="仿宋_GB2312" w:hAnsi="仿宋_GB2312" w:eastAsia="仿宋_GB2312" w:cs="仿宋_GB2312"/>
          <w:bCs/>
          <w:sz w:val="32"/>
          <w:szCs w:val="32"/>
          <w:lang w:eastAsia="zh-CN"/>
        </w:rPr>
        <w:t>仲某某</w:t>
      </w:r>
      <w:r>
        <w:rPr>
          <w:rFonts w:hint="eastAsia" w:ascii="仿宋_GB2312" w:hAnsi="仿宋_GB2312" w:eastAsia="仿宋_GB2312" w:cs="仿宋_GB2312"/>
          <w:kern w:val="2"/>
          <w:sz w:val="32"/>
          <w:szCs w:val="32"/>
        </w:rPr>
        <w:t>举报事项作出的不予立案决定。</w:t>
      </w:r>
    </w:p>
    <w:p w14:paraId="4F6D6E3E">
      <w:pPr>
        <w:pStyle w:val="6"/>
        <w:keepNext w:val="0"/>
        <w:keepLines w:val="0"/>
        <w:pageBreakBefore w:val="0"/>
        <w:widowControl/>
        <w:shd w:val="clear" w:color="auto" w:fill="FFFFFF"/>
        <w:overflowPunct/>
        <w:topLinePunct w:val="0"/>
        <w:bidi w:val="0"/>
        <w:adjustRightInd/>
        <w:spacing w:beforeAutospacing="0" w:afterAutospacing="0" w:line="579" w:lineRule="exact"/>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申请人如不服本决定，可自收到本决定书之日起15日内依法向有管辖权的人民法院提起行政诉讼。</w:t>
      </w:r>
    </w:p>
    <w:p w14:paraId="0231FB21">
      <w:pPr>
        <w:spacing w:line="579" w:lineRule="exact"/>
        <w:ind w:firstLine="4800" w:firstLineChars="1500"/>
        <w:jc w:val="left"/>
        <w:rPr>
          <w:rFonts w:ascii="仿宋_GB2312" w:hAnsi="仿宋_GB2312" w:eastAsia="仿宋_GB2312" w:cs="仿宋_GB2312"/>
          <w:bCs/>
          <w:sz w:val="32"/>
          <w:szCs w:val="32"/>
        </w:rPr>
      </w:pPr>
    </w:p>
    <w:p w14:paraId="2EA71D38">
      <w:pPr>
        <w:spacing w:line="579" w:lineRule="exact"/>
        <w:ind w:firstLine="4800" w:firstLineChars="1500"/>
        <w:jc w:val="left"/>
        <w:rPr>
          <w:rFonts w:ascii="仿宋_GB2312" w:hAnsi="仿宋_GB2312" w:eastAsia="仿宋_GB2312" w:cs="仿宋_GB2312"/>
          <w:bCs/>
          <w:sz w:val="32"/>
          <w:szCs w:val="32"/>
        </w:rPr>
      </w:pPr>
    </w:p>
    <w:p w14:paraId="10B303FE">
      <w:pPr>
        <w:spacing w:line="579" w:lineRule="exact"/>
        <w:ind w:firstLine="3840" w:firstLineChars="1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泉州市丰泽区人民政府</w:t>
      </w:r>
    </w:p>
    <w:p w14:paraId="035F4381">
      <w:pPr>
        <w:spacing w:line="579"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2024年</w:t>
      </w:r>
      <w:r>
        <w:rPr>
          <w:rFonts w:hint="default" w:ascii="仿宋_GB2312" w:hAnsi="仿宋_GB2312" w:eastAsia="仿宋_GB2312" w:cs="仿宋_GB2312"/>
          <w:bCs/>
          <w:sz w:val="32"/>
          <w:szCs w:val="32"/>
          <w:lang w:val="en-US" w:eastAsia="zh-CN"/>
        </w:rPr>
        <w:t>11</w:t>
      </w:r>
      <w:r>
        <w:rPr>
          <w:rFonts w:hint="eastAsia" w:ascii="仿宋_GB2312" w:hAnsi="仿宋_GB2312" w:eastAsia="仿宋_GB2312" w:cs="仿宋_GB2312"/>
          <w:bCs/>
          <w:sz w:val="32"/>
          <w:szCs w:val="32"/>
        </w:rPr>
        <w:t>月</w:t>
      </w:r>
      <w:r>
        <w:rPr>
          <w:rFonts w:hint="default"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日</w:t>
      </w:r>
    </w:p>
    <w:p w14:paraId="7B2FFDEA">
      <w:pPr>
        <w:widowControl/>
        <w:spacing w:line="579" w:lineRule="exact"/>
        <w:jc w:val="left"/>
        <w:rPr>
          <w:rFonts w:ascii="仿宋_GB2312" w:hAnsi="宋体" w:eastAsia="仿宋_GB2312" w:cs="仿宋_GB2312"/>
          <w:sz w:val="32"/>
          <w:szCs w:val="32"/>
        </w:rPr>
      </w:pPr>
    </w:p>
    <w:p w14:paraId="05162269">
      <w:pPr>
        <w:widowControl/>
        <w:spacing w:line="579" w:lineRule="exact"/>
        <w:jc w:val="left"/>
        <w:rPr>
          <w:rFonts w:ascii="仿宋_GB2312" w:hAnsi="仿宋_GB2312" w:eastAsia="仿宋_GB2312" w:cs="仿宋_GB2312"/>
          <w:sz w:val="32"/>
          <w:szCs w:val="32"/>
        </w:rPr>
      </w:pPr>
    </w:p>
    <w:p w14:paraId="0B90CEE3">
      <w:pPr>
        <w:widowControl/>
        <w:spacing w:line="360" w:lineRule="exact"/>
        <w:rPr>
          <w:rFonts w:ascii="仿宋_GB2312" w:hAnsi="仿宋_GB2312" w:eastAsia="仿宋_GB2312" w:cs="仿宋_GB2312"/>
          <w:sz w:val="28"/>
          <w:szCs w:val="28"/>
        </w:rPr>
        <w:sectPr>
          <w:footerReference r:id="rId4" w:type="first"/>
          <w:footerReference r:id="rId3" w:type="default"/>
          <w:pgSz w:w="11906" w:h="16838"/>
          <w:pgMar w:top="1440" w:right="1800" w:bottom="1440" w:left="1800" w:header="851" w:footer="992" w:gutter="0"/>
          <w:pgNumType w:start="1"/>
          <w:cols w:space="720" w:num="1"/>
          <w:titlePg/>
          <w:docGrid w:type="lines" w:linePitch="312" w:charSpace="0"/>
        </w:sectPr>
      </w:pPr>
    </w:p>
    <w:p w14:paraId="10B99076">
      <w:pPr>
        <w:widowControl/>
        <w:spacing w:line="3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（附）本案引用的部分法律条文：</w:t>
      </w:r>
    </w:p>
    <w:p w14:paraId="3AE6203F">
      <w:pPr>
        <w:keepNext w:val="0"/>
        <w:keepLines w:val="0"/>
        <w:pageBreakBefore w:val="0"/>
        <w:widowControl/>
        <w:kinsoku/>
        <w:wordWrap/>
        <w:overflowPunct/>
        <w:topLinePunct w:val="0"/>
        <w:autoSpaceDE/>
        <w:autoSpaceDN/>
        <w:bidi w:val="0"/>
        <w:adjustRightInd/>
        <w:snapToGrid/>
        <w:spacing w:line="400" w:lineRule="exact"/>
        <w:ind w:firstLine="540"/>
        <w:jc w:val="left"/>
        <w:textAlignment w:val="auto"/>
        <w:rPr>
          <w:rFonts w:ascii="仿宋_GB2312" w:hAnsi="仿宋_GB2312" w:eastAsia="仿宋_GB2312" w:cs="仿宋_GB2312"/>
          <w:b/>
          <w:bCs/>
          <w:sz w:val="28"/>
          <w:szCs w:val="28"/>
        </w:rPr>
      </w:pPr>
    </w:p>
    <w:p w14:paraId="41D9C9DA">
      <w:pPr>
        <w:keepNext w:val="0"/>
        <w:keepLines w:val="0"/>
        <w:pageBreakBefore w:val="0"/>
        <w:kinsoku/>
        <w:wordWrap/>
        <w:overflowPunct/>
        <w:topLinePunct w:val="0"/>
        <w:autoSpaceDE/>
        <w:autoSpaceDN/>
        <w:bidi w:val="0"/>
        <w:adjustRightInd/>
        <w:snapToGrid/>
        <w:spacing w:line="400" w:lineRule="exact"/>
        <w:ind w:firstLine="562" w:firstLineChars="20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《中华人民共和国行政复议法》（2023年修订）</w:t>
      </w:r>
    </w:p>
    <w:p w14:paraId="2B23980A">
      <w:pPr>
        <w:keepNext w:val="0"/>
        <w:keepLines w:val="0"/>
        <w:pageBreakBefore w:val="0"/>
        <w:widowControl/>
        <w:kinsoku/>
        <w:wordWrap/>
        <w:overflowPunct/>
        <w:topLinePunct w:val="0"/>
        <w:autoSpaceDE/>
        <w:autoSpaceDN/>
        <w:bidi w:val="0"/>
        <w:adjustRightInd/>
        <w:snapToGrid/>
        <w:spacing w:line="400" w:lineRule="exact"/>
        <w:ind w:firstLine="562"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 xml:space="preserve">第六十八条  </w:t>
      </w:r>
      <w:r>
        <w:rPr>
          <w:rFonts w:hint="eastAsia" w:ascii="仿宋_GB2312" w:hAnsi="仿宋_GB2312" w:eastAsia="仿宋_GB2312" w:cs="仿宋_GB2312"/>
          <w:kern w:val="0"/>
          <w:sz w:val="28"/>
          <w:szCs w:val="28"/>
        </w:rPr>
        <w:t>行政行为认定事实清楚，证据确凿，适用依据正确，程序合法，内容适当的，行政复议机关决定维持该行政行为。</w:t>
      </w:r>
    </w:p>
    <w:p w14:paraId="5C158E3D">
      <w:pPr>
        <w:keepNext w:val="0"/>
        <w:keepLines w:val="0"/>
        <w:pageBreakBefore w:val="0"/>
        <w:widowControl/>
        <w:kinsoku/>
        <w:wordWrap/>
        <w:overflowPunct/>
        <w:topLinePunct w:val="0"/>
        <w:autoSpaceDE/>
        <w:autoSpaceDN/>
        <w:bidi w:val="0"/>
        <w:adjustRightInd/>
        <w:snapToGrid/>
        <w:spacing w:line="400" w:lineRule="exact"/>
        <w:ind w:firstLine="562" w:firstLineChars="200"/>
        <w:jc w:val="left"/>
        <w:textAlignment w:val="auto"/>
        <w:rPr>
          <w:rFonts w:hint="eastAsia" w:ascii="仿宋_GB2312" w:hAnsi="方正仿宋_GB2312" w:eastAsia="仿宋_GB2312" w:cs="方正仿宋_GB2312"/>
          <w:b/>
          <w:bCs/>
          <w:sz w:val="28"/>
          <w:szCs w:val="28"/>
        </w:rPr>
      </w:pPr>
    </w:p>
    <w:p w14:paraId="2111B93F">
      <w:pPr>
        <w:keepNext w:val="0"/>
        <w:keepLines w:val="0"/>
        <w:pageBreakBefore w:val="0"/>
        <w:kinsoku/>
        <w:wordWrap/>
        <w:overflowPunct/>
        <w:topLinePunct w:val="0"/>
        <w:autoSpaceDE/>
        <w:autoSpaceDN/>
        <w:bidi w:val="0"/>
        <w:adjustRightInd/>
        <w:snapToGrid/>
        <w:spacing w:line="400" w:lineRule="exact"/>
        <w:ind w:firstLine="562" w:firstLineChars="20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《化妆品监督管理条例》</w:t>
      </w:r>
    </w:p>
    <w:p w14:paraId="695AF462">
      <w:pPr>
        <w:keepNext w:val="0"/>
        <w:keepLines w:val="0"/>
        <w:pageBreakBefore w:val="0"/>
        <w:widowControl/>
        <w:suppressLineNumbers w:val="0"/>
        <w:kinsoku/>
        <w:wordWrap/>
        <w:overflowPunct/>
        <w:topLinePunct w:val="0"/>
        <w:autoSpaceDE/>
        <w:autoSpaceDN/>
        <w:bidi w:val="0"/>
        <w:adjustRightInd/>
        <w:snapToGrid/>
        <w:spacing w:line="400" w:lineRule="exact"/>
        <w:ind w:firstLine="562" w:firstLineChars="200"/>
        <w:jc w:val="left"/>
        <w:textAlignment w:val="auto"/>
        <w:rPr>
          <w:rFonts w:hint="eastAsia" w:ascii="仿宋_GB2312" w:hAnsi="仿宋_GB2312" w:eastAsia="仿宋_GB2312" w:cs="仿宋_GB2312"/>
          <w:kern w:val="0"/>
          <w:sz w:val="28"/>
          <w:szCs w:val="28"/>
        </w:rPr>
      </w:pPr>
      <w:r>
        <w:rPr>
          <w:rFonts w:hint="default" w:ascii="仿宋_GB2312" w:hAnsi="仿宋_GB2312" w:eastAsia="仿宋_GB2312" w:cs="仿宋_GB2312"/>
          <w:b/>
          <w:bCs/>
          <w:kern w:val="0"/>
          <w:sz w:val="28"/>
          <w:szCs w:val="28"/>
          <w:lang w:val="en-US" w:eastAsia="zh-CN"/>
        </w:rPr>
        <w:t>第三十八条第一款</w:t>
      </w:r>
      <w:r>
        <w:rPr>
          <w:rFonts w:hint="eastAsia" w:ascii="仿宋_GB2312" w:hAnsi="仿宋_GB2312" w:eastAsia="仿宋_GB2312" w:cs="仿宋_GB2312"/>
          <w:b/>
          <w:bCs/>
          <w:kern w:val="0"/>
          <w:sz w:val="28"/>
          <w:szCs w:val="28"/>
          <w:lang w:val="en-US" w:eastAsia="zh-CN"/>
        </w:rPr>
        <w:t xml:space="preserve">  </w:t>
      </w:r>
      <w:r>
        <w:rPr>
          <w:rFonts w:hint="eastAsia" w:ascii="仿宋_GB2312" w:hAnsi="仿宋_GB2312" w:eastAsia="仿宋_GB2312" w:cs="仿宋_GB2312"/>
          <w:kern w:val="0"/>
          <w:sz w:val="28"/>
          <w:szCs w:val="28"/>
          <w:lang w:val="en-US" w:eastAsia="zh-CN"/>
        </w:rPr>
        <w:t>化妆品经营者应当建立并执行进货查验记录制度，查验供货者的市场主体登记证明、化妆品注册或者备案情况、产品出厂检验合格证明，如实记录并保存相关凭证。记录和凭证保存期限应当符合本条例第三十一条第一款的规定。</w:t>
      </w:r>
    </w:p>
    <w:p w14:paraId="34E130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hAnsi="仿宋_GB2312" w:eastAsia="仿宋_GB2312" w:cs="仿宋_GB2312"/>
          <w:kern w:val="0"/>
          <w:sz w:val="28"/>
          <w:szCs w:val="28"/>
        </w:rPr>
      </w:pPr>
    </w:p>
    <w:p w14:paraId="02C9F3C2">
      <w:pPr>
        <w:keepNext w:val="0"/>
        <w:keepLines w:val="0"/>
        <w:pageBreakBefore w:val="0"/>
        <w:kinsoku/>
        <w:wordWrap/>
        <w:overflowPunct/>
        <w:topLinePunct w:val="0"/>
        <w:autoSpaceDE/>
        <w:autoSpaceDN/>
        <w:bidi w:val="0"/>
        <w:adjustRightInd/>
        <w:snapToGrid/>
        <w:spacing w:line="400" w:lineRule="exact"/>
        <w:ind w:firstLine="562" w:firstLineChars="20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《市场监督管理投诉举报处理暂行办法》</w:t>
      </w:r>
    </w:p>
    <w:p w14:paraId="159D47D6">
      <w:pPr>
        <w:keepNext w:val="0"/>
        <w:keepLines w:val="0"/>
        <w:pageBreakBefore w:val="0"/>
        <w:kinsoku/>
        <w:wordWrap/>
        <w:overflowPunct/>
        <w:topLinePunct w:val="0"/>
        <w:autoSpaceDE/>
        <w:autoSpaceDN/>
        <w:bidi w:val="0"/>
        <w:adjustRightInd/>
        <w:snapToGrid/>
        <w:spacing w:line="400" w:lineRule="exact"/>
        <w:ind w:firstLine="562" w:firstLineChars="200"/>
        <w:jc w:val="left"/>
        <w:textAlignment w:val="auto"/>
        <w:rPr>
          <w:rFonts w:ascii="仿宋_GB2312" w:hAnsi="仿宋_GB2312" w:eastAsia="仿宋_GB2312" w:cs="仿宋_GB2312"/>
          <w:b/>
          <w:bCs/>
          <w:sz w:val="28"/>
          <w:szCs w:val="28"/>
        </w:rPr>
      </w:pPr>
      <w:r>
        <w:rPr>
          <w:rFonts w:hint="eastAsia" w:ascii="仿宋_GB2312" w:hAnsi="仿宋_GB2312" w:eastAsia="仿宋_GB2312" w:cs="仿宋_GB2312"/>
          <w:b/>
          <w:bCs/>
          <w:kern w:val="0"/>
          <w:sz w:val="28"/>
          <w:szCs w:val="28"/>
        </w:rPr>
        <w:t>第三十一条</w:t>
      </w:r>
      <w:r>
        <w:rPr>
          <w:rFonts w:hint="eastAsia" w:ascii="仿宋_GB2312" w:hAnsi="仿宋_GB2312" w:eastAsia="仿宋_GB2312" w:cs="仿宋_GB2312"/>
          <w:b/>
          <w:bCs/>
          <w:kern w:val="0"/>
          <w:sz w:val="28"/>
          <w:szCs w:val="28"/>
          <w:lang w:val="en-US" w:eastAsia="zh-CN"/>
        </w:rPr>
        <w:t xml:space="preserve">  </w:t>
      </w:r>
      <w:r>
        <w:rPr>
          <w:rFonts w:hint="eastAsia" w:ascii="仿宋_GB2312" w:hAnsi="仿宋_GB2312" w:eastAsia="仿宋_GB2312" w:cs="仿宋_GB2312"/>
          <w:kern w:val="0"/>
          <w:sz w:val="28"/>
          <w:szCs w:val="28"/>
        </w:rPr>
        <w:t>市场监督管理部门应当按照市场监督管理行政处罚等有关规定处理举报。举报人实名举报的，有处理权限的市场监督管理部门还应当自作出是否立案决定之日起五个工作日内告知举报人。</w:t>
      </w:r>
    </w:p>
    <w:p w14:paraId="3924F3D4">
      <w:pPr>
        <w:keepNext w:val="0"/>
        <w:keepLines w:val="0"/>
        <w:pageBreakBefore w:val="0"/>
        <w:kinsoku/>
        <w:wordWrap/>
        <w:overflowPunct/>
        <w:topLinePunct w:val="0"/>
        <w:autoSpaceDE/>
        <w:autoSpaceDN/>
        <w:bidi w:val="0"/>
        <w:adjustRightInd/>
        <w:snapToGrid/>
        <w:spacing w:line="400" w:lineRule="exact"/>
        <w:ind w:firstLine="562" w:firstLineChars="200"/>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《市场监督管理行政处罚程序规定》</w:t>
      </w:r>
    </w:p>
    <w:p w14:paraId="7B8427CE">
      <w:pPr>
        <w:keepNext w:val="0"/>
        <w:keepLines w:val="0"/>
        <w:pageBreakBefore w:val="0"/>
        <w:widowControl/>
        <w:kinsoku/>
        <w:wordWrap/>
        <w:overflowPunct/>
        <w:topLinePunct w:val="0"/>
        <w:autoSpaceDE/>
        <w:autoSpaceDN/>
        <w:bidi w:val="0"/>
        <w:adjustRightInd/>
        <w:snapToGrid/>
        <w:spacing w:line="400" w:lineRule="exact"/>
        <w:ind w:firstLine="562" w:firstLineChars="200"/>
        <w:jc w:val="left"/>
        <w:textAlignment w:val="auto"/>
        <w:rPr>
          <w:rFonts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第十八条第一款</w:t>
      </w:r>
      <w:r>
        <w:rPr>
          <w:rFonts w:hint="eastAsia" w:ascii="仿宋_GB2312" w:hAnsi="仿宋_GB2312" w:eastAsia="仿宋_GB2312" w:cs="仿宋_GB2312"/>
          <w:kern w:val="0"/>
          <w:sz w:val="28"/>
          <w:szCs w:val="28"/>
        </w:rPr>
        <w:t xml:space="preserve"> 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w:t>
      </w:r>
    </w:p>
    <w:p w14:paraId="2DB9E627">
      <w:pPr>
        <w:keepNext w:val="0"/>
        <w:keepLines w:val="0"/>
        <w:pageBreakBefore w:val="0"/>
        <w:widowControl/>
        <w:kinsoku/>
        <w:wordWrap/>
        <w:overflowPunct/>
        <w:topLinePunct w:val="0"/>
        <w:autoSpaceDE/>
        <w:autoSpaceDN/>
        <w:bidi w:val="0"/>
        <w:adjustRightInd/>
        <w:snapToGrid/>
        <w:spacing w:line="400" w:lineRule="exact"/>
        <w:ind w:firstLine="562" w:firstLineChars="20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第十</w:t>
      </w:r>
      <w:r>
        <w:rPr>
          <w:rFonts w:hint="eastAsia" w:ascii="仿宋_GB2312" w:hAnsi="仿宋_GB2312" w:eastAsia="仿宋_GB2312" w:cs="仿宋_GB2312"/>
          <w:b/>
          <w:bCs/>
          <w:kern w:val="0"/>
          <w:sz w:val="28"/>
          <w:szCs w:val="28"/>
          <w:lang w:eastAsia="zh-CN"/>
        </w:rPr>
        <w:t>九</w:t>
      </w:r>
      <w:r>
        <w:rPr>
          <w:rFonts w:hint="eastAsia" w:ascii="仿宋_GB2312" w:hAnsi="仿宋_GB2312" w:eastAsia="仿宋_GB2312" w:cs="仿宋_GB2312"/>
          <w:b/>
          <w:bCs/>
          <w:kern w:val="0"/>
          <w:sz w:val="28"/>
          <w:szCs w:val="28"/>
        </w:rPr>
        <w:t>条</w:t>
      </w:r>
      <w:r>
        <w:rPr>
          <w:rFonts w:hint="eastAsia" w:ascii="仿宋_GB2312" w:hAnsi="仿宋_GB2312" w:eastAsia="仿宋_GB2312" w:cs="仿宋_GB2312"/>
          <w:b/>
          <w:bCs/>
          <w:kern w:val="0"/>
          <w:sz w:val="28"/>
          <w:szCs w:val="28"/>
          <w:lang w:val="en-US" w:eastAsia="zh-CN"/>
        </w:rPr>
        <w:t xml:space="preserve">  </w:t>
      </w:r>
      <w:r>
        <w:rPr>
          <w:rFonts w:hint="eastAsia" w:ascii="仿宋_GB2312" w:hAnsi="仿宋_GB2312" w:eastAsia="仿宋_GB2312" w:cs="仿宋_GB2312"/>
          <w:kern w:val="0"/>
          <w:sz w:val="28"/>
          <w:szCs w:val="28"/>
        </w:rPr>
        <w:t>经核查，符合下列条件的，应当立案：</w:t>
      </w:r>
    </w:p>
    <w:p w14:paraId="5D7D354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（一）有证据初步证明存在违反市场监督管理法律、法规、规章的行为；</w:t>
      </w:r>
    </w:p>
    <w:p w14:paraId="5214E4F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（二）依据市场监督管理法律、法规、规章应当给予行政处罚；</w:t>
      </w:r>
    </w:p>
    <w:p w14:paraId="6A45EB0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（三）属于本部门管辖；</w:t>
      </w:r>
    </w:p>
    <w:p w14:paraId="4A8E6D3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（四）在给予行政处罚的法定期限内。</w:t>
      </w:r>
    </w:p>
    <w:p w14:paraId="3F77CA9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pPr>
      <w:r>
        <w:rPr>
          <w:rFonts w:hint="eastAsia" w:ascii="仿宋_GB2312" w:hAnsi="仿宋_GB2312" w:eastAsia="仿宋_GB2312" w:cs="仿宋_GB2312"/>
          <w:kern w:val="0"/>
          <w:sz w:val="28"/>
          <w:szCs w:val="28"/>
        </w:rPr>
        <w:t>　　决定立案的，应当填写立案审批表，由办案机构负责人指定两名以上具有行政执法资格的办案人员负责调查处理。</w:t>
      </w:r>
    </w:p>
    <w:p w14:paraId="50E1F551">
      <w:pPr>
        <w:keepNext w:val="0"/>
        <w:keepLines w:val="0"/>
        <w:pageBreakBefore w:val="0"/>
        <w:widowControl/>
        <w:kinsoku/>
        <w:wordWrap/>
        <w:overflowPunct/>
        <w:topLinePunct w:val="0"/>
        <w:autoSpaceDE/>
        <w:autoSpaceDN/>
        <w:bidi w:val="0"/>
        <w:adjustRightInd/>
        <w:snapToGrid/>
        <w:spacing w:line="400" w:lineRule="exact"/>
        <w:ind w:firstLine="560" w:firstLineChars="200"/>
        <w:jc w:val="left"/>
        <w:textAlignment w:val="auto"/>
        <w:rPr>
          <w:rFonts w:ascii="仿宋_GB2312" w:hAnsi="仿宋_GB2312" w:eastAsia="仿宋_GB2312" w:cs="仿宋_GB2312"/>
          <w:kern w:val="0"/>
          <w:sz w:val="28"/>
          <w:szCs w:val="28"/>
        </w:rPr>
      </w:pPr>
    </w:p>
    <w:sectPr>
      <w:footerReference r:id="rId6" w:type="firs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DejaVu Sans">
    <w:altName w:val="Segoe Print"/>
    <w:panose1 w:val="020B0603030804020204"/>
    <w:charset w:val="00"/>
    <w:family w:val="auto"/>
    <w:pitch w:val="default"/>
    <w:sig w:usb0="00000000" w:usb1="00000000" w:usb2="0A246029" w:usb3="0400200C" w:csb0="600001FF" w:csb1="DFFF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CF5BC">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DF98C3">
                          <w:pPr>
                            <w:pStyle w:val="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EDF98C3">
                    <w:pPr>
                      <w:pStyle w:val="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496A6">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AF0440"/>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EAF044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27606">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F0061">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8C728A"/>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578C728A"/>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OTVlYzEwNmRiZjdkNGQxOGE5ZWUyNjExY2UzMTUifQ=="/>
  </w:docVars>
  <w:rsids>
    <w:rsidRoot w:val="007A1D3D"/>
    <w:rsid w:val="000E116E"/>
    <w:rsid w:val="00144F08"/>
    <w:rsid w:val="001E25FA"/>
    <w:rsid w:val="006E4237"/>
    <w:rsid w:val="006F28FC"/>
    <w:rsid w:val="0075242D"/>
    <w:rsid w:val="007A1D3D"/>
    <w:rsid w:val="007B3474"/>
    <w:rsid w:val="0083464D"/>
    <w:rsid w:val="00A570B7"/>
    <w:rsid w:val="00A95E55"/>
    <w:rsid w:val="00C6750A"/>
    <w:rsid w:val="00D006A0"/>
    <w:rsid w:val="00D41BF4"/>
    <w:rsid w:val="00D62CEF"/>
    <w:rsid w:val="00D71422"/>
    <w:rsid w:val="00D9643D"/>
    <w:rsid w:val="00E363AD"/>
    <w:rsid w:val="00F91D81"/>
    <w:rsid w:val="00F9319B"/>
    <w:rsid w:val="1519E17C"/>
    <w:rsid w:val="1885533C"/>
    <w:rsid w:val="1D1D2821"/>
    <w:rsid w:val="1E4BBAC3"/>
    <w:rsid w:val="309A0923"/>
    <w:rsid w:val="3BFF4606"/>
    <w:rsid w:val="3CE743FD"/>
    <w:rsid w:val="3FE30ED9"/>
    <w:rsid w:val="3FF7844E"/>
    <w:rsid w:val="3FF9A354"/>
    <w:rsid w:val="3FFB4271"/>
    <w:rsid w:val="3FFF7304"/>
    <w:rsid w:val="4743575E"/>
    <w:rsid w:val="47F52DAF"/>
    <w:rsid w:val="567D2CAF"/>
    <w:rsid w:val="57777DAF"/>
    <w:rsid w:val="57EF985D"/>
    <w:rsid w:val="5BBD2000"/>
    <w:rsid w:val="5BF5B2D1"/>
    <w:rsid w:val="5BFBD27D"/>
    <w:rsid w:val="5CFF78F0"/>
    <w:rsid w:val="5D5FF568"/>
    <w:rsid w:val="5DD79CB2"/>
    <w:rsid w:val="5FAF6C39"/>
    <w:rsid w:val="5FE42D4E"/>
    <w:rsid w:val="5FEE84FC"/>
    <w:rsid w:val="66F25DA3"/>
    <w:rsid w:val="670B2FED"/>
    <w:rsid w:val="674FF2CF"/>
    <w:rsid w:val="72D7499C"/>
    <w:rsid w:val="75F5FED0"/>
    <w:rsid w:val="76FB7733"/>
    <w:rsid w:val="773D518F"/>
    <w:rsid w:val="77FD51A8"/>
    <w:rsid w:val="7BCB7794"/>
    <w:rsid w:val="7BCFA681"/>
    <w:rsid w:val="7BEF2791"/>
    <w:rsid w:val="7CFB6A1F"/>
    <w:rsid w:val="7DAE671E"/>
    <w:rsid w:val="7DDF2559"/>
    <w:rsid w:val="7DDF87A5"/>
    <w:rsid w:val="7F5F3261"/>
    <w:rsid w:val="7FDFC78F"/>
    <w:rsid w:val="7FEC20D4"/>
    <w:rsid w:val="7FED164B"/>
    <w:rsid w:val="7FF7EC78"/>
    <w:rsid w:val="7FFF3409"/>
    <w:rsid w:val="85DE300C"/>
    <w:rsid w:val="AFFFB8F6"/>
    <w:rsid w:val="B79FB34A"/>
    <w:rsid w:val="BCEF228E"/>
    <w:rsid w:val="BD0F96EA"/>
    <w:rsid w:val="BEB91509"/>
    <w:rsid w:val="BFBAD8D8"/>
    <w:rsid w:val="CDFFA938"/>
    <w:rsid w:val="D2B9CB30"/>
    <w:rsid w:val="DDF67AD2"/>
    <w:rsid w:val="DFFF263B"/>
    <w:rsid w:val="EEBBC10D"/>
    <w:rsid w:val="EF8BB442"/>
    <w:rsid w:val="EFDBBA35"/>
    <w:rsid w:val="F76E2507"/>
    <w:rsid w:val="F7CD8B04"/>
    <w:rsid w:val="F7E3FE3B"/>
    <w:rsid w:val="F7FD693F"/>
    <w:rsid w:val="FB7F2D67"/>
    <w:rsid w:val="FBDFEE97"/>
    <w:rsid w:val="FCBFA69A"/>
    <w:rsid w:val="FDFFDBD6"/>
    <w:rsid w:val="FEFE838B"/>
    <w:rsid w:val="FFDBDAD3"/>
    <w:rsid w:val="FFDF3C27"/>
    <w:rsid w:val="FFE73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qFormat/>
    <w:uiPriority w:val="0"/>
    <w:pPr>
      <w:kinsoku/>
      <w:autoSpaceDE/>
      <w:autoSpaceDN/>
      <w:adjustRightInd/>
      <w:snapToGrid/>
      <w:spacing w:before="100" w:beforeAutospacing="1" w:after="100" w:afterAutospacing="1"/>
      <w:textAlignment w:val="auto"/>
      <w:outlineLvl w:val="1"/>
    </w:pPr>
    <w:rPr>
      <w:rFonts w:ascii="宋体" w:hAnsi="宋体" w:cs="宋体"/>
      <w:b/>
      <w:bCs/>
      <w:color w:val="auto"/>
      <w:sz w:val="36"/>
      <w:szCs w:val="36"/>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semiHidden/>
    <w:unhideWhenUsed/>
    <w:qFormat/>
    <w:uiPriority w:val="99"/>
    <w:pPr>
      <w:spacing w:after="120"/>
    </w:p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Body Text First Indent"/>
    <w:basedOn w:val="3"/>
    <w:link w:val="13"/>
    <w:qFormat/>
    <w:uiPriority w:val="0"/>
    <w:pPr>
      <w:ind w:firstLine="420" w:firstLineChars="100"/>
    </w:p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 w:type="character" w:customStyle="1" w:styleId="12">
    <w:name w:val="正文文本 Char"/>
    <w:basedOn w:val="9"/>
    <w:link w:val="3"/>
    <w:semiHidden/>
    <w:qFormat/>
    <w:uiPriority w:val="99"/>
    <w:rPr>
      <w:rFonts w:ascii="Calibri" w:hAnsi="Calibri" w:eastAsia="宋体" w:cs="Times New Roman"/>
      <w:szCs w:val="24"/>
    </w:rPr>
  </w:style>
  <w:style w:type="character" w:customStyle="1" w:styleId="13">
    <w:name w:val="正文首行缩进 Char"/>
    <w:basedOn w:val="12"/>
    <w:link w:val="7"/>
    <w:qFormat/>
    <w:uiPriority w:val="0"/>
  </w:style>
  <w:style w:type="character" w:customStyle="1" w:styleId="14">
    <w:name w:val="c_tiao"/>
    <w:basedOn w:val="9"/>
    <w:qFormat/>
    <w:uiPriority w:val="0"/>
    <w:rPr>
      <w:rFonts w:ascii="宋体" w:hAnsi="宋体" w:eastAsia="宋体" w:cs="宋体"/>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10</Pages>
  <Words>5242</Words>
  <Characters>5447</Characters>
  <Lines>52</Lines>
  <Paragraphs>14</Paragraphs>
  <TotalTime>5</TotalTime>
  <ScaleCrop>false</ScaleCrop>
  <LinksUpToDate>false</LinksUpToDate>
  <CharactersWithSpaces>5521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2024-07-29T09:44:00Z</dcterms:created>
  <dc:creator>Micorosoft</dc:creator>
  <cp:lastModifiedBy>River</cp:lastModifiedBy>
  <dcterms:modified xsi:type="dcterms:W3CDTF">2025-01-24T08:10:06Z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861EA3B8E56D48938F93C15CF445A916_13</vt:lpwstr>
  </property>
  <property fmtid="{D5CDD505-2E9C-101B-9397-08002B2CF9AE}" pid="4" name="KSOTemplateDocerSaveRecord">
    <vt:lpwstr>eyJoZGlkIjoiZjVjMGVkYjE0ZDRiMjhhNjM3MjEzMTIyZTU5NjkxYTAiLCJ1c2VySWQiOiI4NTAzNTM0MDcifQ==</vt:lpwstr>
  </property>
</Properties>
</file>